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7" w:rsidRPr="00CF65C8" w:rsidRDefault="00AC5DA7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          </w:t>
      </w:r>
    </w:p>
    <w:p w:rsidR="00AC5DA7" w:rsidRPr="003B4B59" w:rsidRDefault="00AC5DA7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AC5DA7" w:rsidRPr="003B4B59" w:rsidRDefault="00AC5DA7" w:rsidP="007A5F08">
      <w:pPr>
        <w:jc w:val="center"/>
        <w:rPr>
          <w:b/>
          <w:bCs/>
        </w:rPr>
      </w:pPr>
      <w:r w:rsidRPr="003B4B59">
        <w:rPr>
          <w:b/>
          <w:bCs/>
        </w:rPr>
        <w:t xml:space="preserve">АДМИНИСТРАЦИЯ </w:t>
      </w:r>
      <w:r>
        <w:rPr>
          <w:b/>
          <w:bCs/>
        </w:rPr>
        <w:t>ТАБУНЩИКОВСКОГО</w:t>
      </w:r>
      <w:r w:rsidRPr="003B4B59">
        <w:rPr>
          <w:b/>
          <w:bCs/>
        </w:rPr>
        <w:t xml:space="preserve"> СЕЛЬСКОГО ПОСЕЛЕНИЯ</w:t>
      </w:r>
    </w:p>
    <w:p w:rsidR="00AC5DA7" w:rsidRPr="003B4B59" w:rsidRDefault="00AC5DA7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AC5DA7" w:rsidRPr="003B4B59" w:rsidRDefault="00AC5DA7" w:rsidP="007A5F08">
      <w:pPr>
        <w:jc w:val="center"/>
        <w:rPr>
          <w:b/>
          <w:bCs/>
        </w:rPr>
      </w:pPr>
    </w:p>
    <w:p w:rsidR="00AC5DA7" w:rsidRDefault="00AC5DA7" w:rsidP="007A5F08">
      <w:pPr>
        <w:pStyle w:val="Heading1"/>
        <w:jc w:val="center"/>
        <w:rPr>
          <w:b/>
          <w:sz w:val="24"/>
        </w:rPr>
      </w:pPr>
    </w:p>
    <w:p w:rsidR="00AC5DA7" w:rsidRPr="003B4B59" w:rsidRDefault="00AC5DA7" w:rsidP="007A5F08">
      <w:pPr>
        <w:pStyle w:val="Heading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AC5DA7" w:rsidRDefault="00AC5DA7" w:rsidP="00160357">
      <w:pPr>
        <w:tabs>
          <w:tab w:val="center" w:pos="3686"/>
          <w:tab w:val="right" w:pos="7938"/>
        </w:tabs>
      </w:pPr>
      <w:r>
        <w:t>от 25.03.2020</w:t>
      </w:r>
      <w:r w:rsidRPr="0004726F">
        <w:t xml:space="preserve"> </w:t>
      </w:r>
      <w:r>
        <w:t xml:space="preserve">                                                       </w:t>
      </w:r>
      <w:r w:rsidRPr="0004726F">
        <w:t xml:space="preserve"> № </w:t>
      </w:r>
      <w:r>
        <w:t>22                             с.Табунщиково</w:t>
      </w:r>
    </w:p>
    <w:p w:rsidR="00AC5DA7" w:rsidRPr="0004726F" w:rsidRDefault="00AC5DA7" w:rsidP="00C82B27">
      <w:pPr>
        <w:tabs>
          <w:tab w:val="center" w:pos="3686"/>
          <w:tab w:val="right" w:pos="7938"/>
        </w:tabs>
      </w:pPr>
    </w:p>
    <w:p w:rsidR="00AC5DA7" w:rsidRDefault="00AC5DA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AC5DA7" w:rsidRDefault="00AC5DA7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Об утверждении отчета о</w:t>
      </w:r>
      <w:r>
        <w:t xml:space="preserve"> </w:t>
      </w:r>
      <w:r w:rsidRPr="0004726F">
        <w:t xml:space="preserve">реализации  </w:t>
      </w:r>
    </w:p>
    <w:p w:rsidR="00AC5DA7" w:rsidRDefault="00AC5DA7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муниципальной программ</w:t>
      </w:r>
      <w:r>
        <w:t>ы</w:t>
      </w:r>
      <w:r w:rsidRPr="0004726F">
        <w:t xml:space="preserve"> </w:t>
      </w:r>
      <w:r>
        <w:t>Табунщиковского</w:t>
      </w:r>
      <w:r w:rsidRPr="0004726F">
        <w:t xml:space="preserve"> сельского поселения </w:t>
      </w:r>
    </w:p>
    <w:p w:rsidR="00AC5DA7" w:rsidRDefault="00AC5DA7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«Управление муниципальными финансами» за 201</w:t>
      </w:r>
      <w:r>
        <w:t>9</w:t>
      </w:r>
      <w:r w:rsidRPr="0004726F">
        <w:t xml:space="preserve"> год</w:t>
      </w:r>
    </w:p>
    <w:p w:rsidR="00AC5DA7" w:rsidRPr="0004726F" w:rsidRDefault="00AC5DA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AC5DA7" w:rsidRPr="0004726F" w:rsidRDefault="00AC5DA7" w:rsidP="00E4439E">
      <w:pPr>
        <w:autoSpaceDE w:val="0"/>
        <w:autoSpaceDN w:val="0"/>
        <w:adjustRightInd w:val="0"/>
        <w:jc w:val="both"/>
        <w:outlineLvl w:val="0"/>
      </w:pPr>
    </w:p>
    <w:p w:rsidR="00AC5DA7" w:rsidRDefault="00AC5DA7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Администрации </w:t>
      </w:r>
      <w:r>
        <w:t>Табунщиковского сельского поселения от 16</w:t>
      </w:r>
      <w:r w:rsidRPr="0004726F">
        <w:t>.0</w:t>
      </w:r>
      <w:r>
        <w:t>1</w:t>
      </w:r>
      <w:r w:rsidRPr="0004726F">
        <w:t>.201</w:t>
      </w:r>
      <w:r>
        <w:t>8</w:t>
      </w:r>
      <w:r w:rsidRPr="0004726F">
        <w:t xml:space="preserve"> №</w:t>
      </w:r>
      <w:r>
        <w:t>6</w:t>
      </w:r>
      <w:r w:rsidRPr="0004726F">
        <w:t xml:space="preserve"> «Об утверждении Порядка разработки, реализации и оценки эффективности муниципальных программ </w:t>
      </w:r>
      <w:r>
        <w:t>Табунщиковского</w:t>
      </w:r>
      <w:r w:rsidRPr="0004726F">
        <w:t xml:space="preserve"> сельского поселения и Методических рекомендаций», руководствуясь ст. 3</w:t>
      </w:r>
      <w:r>
        <w:t>3</w:t>
      </w:r>
      <w:r w:rsidRPr="0004726F">
        <w:t xml:space="preserve"> Устава муниципального образования «</w:t>
      </w:r>
      <w:r>
        <w:t>Табунщиковское</w:t>
      </w:r>
      <w:r w:rsidRPr="0004726F">
        <w:t xml:space="preserve"> сельское по</w:t>
      </w:r>
      <w:r>
        <w:t>селение»,</w:t>
      </w:r>
      <w:r w:rsidRPr="000D04A6">
        <w:t xml:space="preserve"> Администрация </w:t>
      </w:r>
      <w:r>
        <w:t>Табунщиковского</w:t>
      </w:r>
      <w:r w:rsidRPr="000D04A6">
        <w:t xml:space="preserve"> сельского поселения</w:t>
      </w:r>
      <w:r>
        <w:t xml:space="preserve"> </w:t>
      </w:r>
    </w:p>
    <w:p w:rsidR="00AC5DA7" w:rsidRPr="0004726F" w:rsidRDefault="00AC5DA7" w:rsidP="00E4439E">
      <w:pPr>
        <w:pStyle w:val="ConsPlusTitle"/>
        <w:widowControl/>
        <w:rPr>
          <w:b w:val="0"/>
          <w:bCs w:val="0"/>
        </w:rPr>
      </w:pPr>
    </w:p>
    <w:p w:rsidR="00AC5DA7" w:rsidRPr="00EE42A0" w:rsidRDefault="00AC5DA7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ПОСТАНОВЛЯЕТ:</w:t>
      </w:r>
    </w:p>
    <w:p w:rsidR="00AC5DA7" w:rsidRPr="00EE42A0" w:rsidRDefault="00AC5DA7" w:rsidP="00D409A9">
      <w:pPr>
        <w:pStyle w:val="ConsPlusTitle"/>
        <w:widowControl/>
        <w:jc w:val="center"/>
        <w:rPr>
          <w:b w:val="0"/>
          <w:bCs w:val="0"/>
        </w:rPr>
      </w:pPr>
    </w:p>
    <w:p w:rsidR="00AC5DA7" w:rsidRPr="0004726F" w:rsidRDefault="00AC5DA7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</w:t>
      </w:r>
      <w:r>
        <w:t>Табунщиковского</w:t>
      </w:r>
      <w:r w:rsidRPr="0004726F">
        <w:t xml:space="preserve"> сельского поселения «Управление муниципальными финансами»</w:t>
      </w:r>
      <w:r>
        <w:t>, утвержденной постановлением Администрации Табунщиковского сельского поселения от 17.12.2018 № 82,</w:t>
      </w:r>
      <w:r w:rsidRPr="0004726F">
        <w:t xml:space="preserve"> за 201</w:t>
      </w:r>
      <w:r>
        <w:t>9</w:t>
      </w:r>
      <w:r w:rsidRPr="0004726F">
        <w:t xml:space="preserve"> год согласно приложени</w:t>
      </w:r>
      <w:r>
        <w:t>ю к настоящему постановлению.</w:t>
      </w:r>
    </w:p>
    <w:p w:rsidR="00AC5DA7" w:rsidRPr="0004726F" w:rsidRDefault="00AC5DA7" w:rsidP="00EF1551">
      <w:pPr>
        <w:autoSpaceDE w:val="0"/>
        <w:autoSpaceDN w:val="0"/>
        <w:adjustRightInd w:val="0"/>
        <w:ind w:firstLine="709"/>
        <w:jc w:val="both"/>
      </w:pPr>
    </w:p>
    <w:p w:rsidR="00AC5DA7" w:rsidRPr="00B25E43" w:rsidRDefault="00AC5DA7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Табунщиковское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AC5DA7" w:rsidRDefault="00AC5DA7" w:rsidP="00EF1551">
      <w:pPr>
        <w:autoSpaceDE w:val="0"/>
        <w:autoSpaceDN w:val="0"/>
        <w:adjustRightInd w:val="0"/>
        <w:ind w:firstLine="709"/>
        <w:jc w:val="both"/>
      </w:pPr>
    </w:p>
    <w:p w:rsidR="00AC5DA7" w:rsidRPr="0004726F" w:rsidRDefault="00AC5DA7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>. Контроль за исполнением постановления оставляю за собой.</w:t>
      </w:r>
    </w:p>
    <w:p w:rsidR="00AC5DA7" w:rsidRPr="0004726F" w:rsidRDefault="00AC5DA7" w:rsidP="00D409A9">
      <w:pPr>
        <w:autoSpaceDE w:val="0"/>
        <w:autoSpaceDN w:val="0"/>
        <w:adjustRightInd w:val="0"/>
        <w:ind w:firstLine="709"/>
        <w:jc w:val="both"/>
      </w:pPr>
    </w:p>
    <w:p w:rsidR="00AC5DA7" w:rsidRDefault="00AC5DA7" w:rsidP="00D409A9">
      <w:pPr>
        <w:autoSpaceDE w:val="0"/>
        <w:autoSpaceDN w:val="0"/>
        <w:adjustRightInd w:val="0"/>
        <w:ind w:firstLine="709"/>
        <w:jc w:val="both"/>
      </w:pPr>
    </w:p>
    <w:p w:rsidR="00AC5DA7" w:rsidRDefault="00AC5DA7" w:rsidP="00D409A9">
      <w:pPr>
        <w:autoSpaceDE w:val="0"/>
        <w:autoSpaceDN w:val="0"/>
        <w:adjustRightInd w:val="0"/>
        <w:ind w:firstLine="709"/>
        <w:jc w:val="both"/>
      </w:pPr>
    </w:p>
    <w:p w:rsidR="00AC5DA7" w:rsidRPr="0004726F" w:rsidRDefault="00AC5DA7" w:rsidP="00D409A9">
      <w:pPr>
        <w:autoSpaceDE w:val="0"/>
        <w:autoSpaceDN w:val="0"/>
        <w:adjustRightInd w:val="0"/>
        <w:ind w:firstLine="709"/>
        <w:jc w:val="both"/>
      </w:pPr>
    </w:p>
    <w:p w:rsidR="00AC5DA7" w:rsidRPr="0004726F" w:rsidRDefault="00AC5DA7" w:rsidP="00E4439E">
      <w:pPr>
        <w:autoSpaceDE w:val="0"/>
        <w:autoSpaceDN w:val="0"/>
        <w:adjustRightInd w:val="0"/>
        <w:jc w:val="both"/>
      </w:pPr>
    </w:p>
    <w:p w:rsidR="00AC5DA7" w:rsidRPr="0004726F" w:rsidRDefault="00AC5DA7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>
        <w:t xml:space="preserve"> Администрации</w:t>
      </w:r>
      <w:r w:rsidRPr="0004726F">
        <w:t xml:space="preserve"> </w:t>
      </w:r>
      <w:r>
        <w:t>Табунщиковского</w:t>
      </w:r>
    </w:p>
    <w:p w:rsidR="00AC5DA7" w:rsidRPr="0004726F" w:rsidRDefault="00AC5DA7" w:rsidP="006C5E63">
      <w:pPr>
        <w:autoSpaceDE w:val="0"/>
        <w:autoSpaceDN w:val="0"/>
        <w:adjustRightInd w:val="0"/>
        <w:ind w:firstLine="284"/>
        <w:jc w:val="both"/>
      </w:pPr>
      <w:r w:rsidRPr="0004726F">
        <w:t xml:space="preserve">сельского поселения                                                  </w:t>
      </w:r>
      <w:r>
        <w:t xml:space="preserve">   </w:t>
      </w:r>
      <w:r w:rsidRPr="0004726F">
        <w:t xml:space="preserve">    </w:t>
      </w:r>
      <w:r>
        <w:t xml:space="preserve">             </w:t>
      </w:r>
      <w:r w:rsidRPr="0004726F">
        <w:t xml:space="preserve">      </w:t>
      </w:r>
      <w:r>
        <w:t xml:space="preserve">         </w:t>
      </w:r>
      <w:r w:rsidRPr="0004726F">
        <w:t xml:space="preserve"> </w:t>
      </w:r>
      <w:r>
        <w:t>О.Н.Здроб</w:t>
      </w:r>
    </w:p>
    <w:p w:rsidR="00AC5DA7" w:rsidRPr="0004726F" w:rsidRDefault="00AC5DA7" w:rsidP="00D409A9">
      <w:pPr>
        <w:jc w:val="both"/>
        <w:sectPr w:rsidR="00AC5DA7" w:rsidRPr="0004726F" w:rsidSect="00747CAD">
          <w:footerReference w:type="first" r:id="rId7"/>
          <w:pgSz w:w="11907" w:h="16840"/>
          <w:pgMar w:top="567" w:right="567" w:bottom="1134" w:left="1134" w:header="720" w:footer="720" w:gutter="0"/>
          <w:cols w:space="720"/>
        </w:sectPr>
      </w:pPr>
    </w:p>
    <w:p w:rsidR="00AC5DA7" w:rsidRPr="00304E53" w:rsidRDefault="00AC5DA7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 xml:space="preserve">Приложение </w:t>
      </w:r>
    </w:p>
    <w:p w:rsidR="00AC5DA7" w:rsidRPr="00304E53" w:rsidRDefault="00AC5DA7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>
        <w:rPr>
          <w:sz w:val="21"/>
          <w:szCs w:val="21"/>
        </w:rPr>
        <w:t>ановлению</w:t>
      </w:r>
      <w:r w:rsidRPr="00304E53">
        <w:rPr>
          <w:sz w:val="21"/>
          <w:szCs w:val="21"/>
        </w:rPr>
        <w:t xml:space="preserve"> Администрации </w:t>
      </w:r>
      <w:r>
        <w:rPr>
          <w:sz w:val="21"/>
          <w:szCs w:val="21"/>
        </w:rPr>
        <w:t>Табунщиковского</w:t>
      </w:r>
      <w:r w:rsidRPr="00304E53">
        <w:rPr>
          <w:sz w:val="21"/>
          <w:szCs w:val="21"/>
        </w:rPr>
        <w:t xml:space="preserve"> сельского поселения от </w:t>
      </w:r>
      <w:r>
        <w:rPr>
          <w:sz w:val="21"/>
          <w:szCs w:val="21"/>
        </w:rPr>
        <w:t>25.03.2020</w:t>
      </w:r>
      <w:r w:rsidRPr="00304E53">
        <w:rPr>
          <w:sz w:val="21"/>
          <w:szCs w:val="21"/>
        </w:rPr>
        <w:t xml:space="preserve">  № </w:t>
      </w:r>
      <w:r>
        <w:rPr>
          <w:sz w:val="21"/>
          <w:szCs w:val="21"/>
        </w:rPr>
        <w:t>22</w:t>
      </w:r>
    </w:p>
    <w:p w:rsidR="00AC5DA7" w:rsidRPr="00240D61" w:rsidRDefault="00AC5DA7" w:rsidP="000A00FA">
      <w:pPr>
        <w:pStyle w:val="ConsPlusNonformat"/>
        <w:jc w:val="center"/>
        <w:rPr>
          <w:rFonts w:ascii="Times New Roman" w:hAnsi="Times New Roman"/>
          <w:sz w:val="8"/>
          <w:szCs w:val="8"/>
        </w:rPr>
      </w:pPr>
    </w:p>
    <w:p w:rsidR="00AC5DA7" w:rsidRDefault="00AC5DA7" w:rsidP="000A00F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C5DA7" w:rsidRPr="008E2D0C" w:rsidRDefault="00AC5DA7" w:rsidP="000A00F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E2D0C">
        <w:rPr>
          <w:rFonts w:ascii="Times New Roman" w:hAnsi="Times New Roman"/>
          <w:b/>
          <w:sz w:val="24"/>
          <w:szCs w:val="24"/>
        </w:rPr>
        <w:t>Отчет о реализации муниципальной программы</w:t>
      </w:r>
    </w:p>
    <w:p w:rsidR="00AC5DA7" w:rsidRPr="008E2D0C" w:rsidRDefault="00AC5DA7" w:rsidP="00B101E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Табунщиковского</w:t>
      </w:r>
      <w:r w:rsidRPr="008E2D0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AC5DA7" w:rsidRDefault="00AC5DA7" w:rsidP="00B101E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E2D0C">
        <w:rPr>
          <w:rFonts w:ascii="Times New Roman" w:hAnsi="Times New Roman"/>
          <w:b/>
          <w:sz w:val="24"/>
          <w:szCs w:val="24"/>
        </w:rPr>
        <w:t xml:space="preserve">«Управление муниципальными финансами» за </w:t>
      </w:r>
      <w:smartTag w:uri="urn:schemas-microsoft-com:office:smarttags" w:element="metricconverter">
        <w:smartTagPr>
          <w:attr w:name="ProductID" w:val="2019 г"/>
        </w:smartTagPr>
        <w:r w:rsidRPr="008E2D0C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9</w:t>
        </w:r>
        <w:r w:rsidRPr="008E2D0C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8E2D0C">
        <w:rPr>
          <w:rFonts w:ascii="Times New Roman" w:hAnsi="Times New Roman"/>
          <w:b/>
          <w:sz w:val="24"/>
          <w:szCs w:val="24"/>
        </w:rPr>
        <w:t>.</w:t>
      </w:r>
    </w:p>
    <w:p w:rsidR="00AC5DA7" w:rsidRPr="008E2D0C" w:rsidRDefault="00AC5DA7" w:rsidP="00B101E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AC5DA7" w:rsidRDefault="00AC5DA7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>
        <w:rPr>
          <w:b/>
        </w:rPr>
        <w:t>2019 год</w:t>
      </w:r>
    </w:p>
    <w:p w:rsidR="00AC5DA7" w:rsidRPr="00B101E0" w:rsidRDefault="00AC5DA7" w:rsidP="000A00F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 xml:space="preserve">Табунщиковского сельского </w:t>
      </w:r>
      <w:bookmarkStart w:id="0" w:name="_GoBack"/>
      <w:bookmarkEnd w:id="0"/>
      <w:r>
        <w:t>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</w:t>
      </w:r>
      <w:r>
        <w:t>Табунщиковского</w:t>
      </w:r>
      <w:r w:rsidRPr="00D87C2A">
        <w:t xml:space="preserve"> сельского поселения от  17.12.2018 №</w:t>
      </w:r>
      <w:r>
        <w:t>82</w:t>
      </w:r>
      <w:r w:rsidRPr="00D87C2A">
        <w:t xml:space="preserve">, (далее – </w:t>
      </w:r>
      <w:r>
        <w:t>муниципальная</w:t>
      </w:r>
      <w:r w:rsidRPr="00D87C2A">
        <w:t xml:space="preserve"> программа), ответственным исполнителем в 201</w:t>
      </w:r>
      <w:r>
        <w:t>9</w:t>
      </w:r>
      <w:r w:rsidRPr="00D87C2A">
        <w:t xml:space="preserve"> году р</w:t>
      </w:r>
      <w:r>
        <w:t>еализован комплекс мероприятий.</w:t>
      </w:r>
    </w:p>
    <w:p w:rsidR="00AC5DA7" w:rsidRPr="00902366" w:rsidRDefault="00AC5DA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Табунщиковского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Табунщиковского сельского поселения</w:t>
      </w:r>
      <w:r w:rsidRPr="00902366">
        <w:t xml:space="preserve"> от </w:t>
      </w:r>
      <w:r w:rsidRPr="00160357">
        <w:rPr>
          <w:bCs/>
        </w:rPr>
        <w:t>07.09.2018 №64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Табунщиковского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Табунщиковского сельского поселения от 24</w:t>
      </w:r>
      <w:r w:rsidRPr="00902366">
        <w:t>.1</w:t>
      </w:r>
      <w:r>
        <w:t>2</w:t>
      </w:r>
      <w:r w:rsidRPr="00902366">
        <w:t>.201</w:t>
      </w:r>
      <w:r>
        <w:t>8</w:t>
      </w:r>
      <w:r w:rsidRPr="00902366">
        <w:t xml:space="preserve"> № </w:t>
      </w:r>
      <w:r>
        <w:t>33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9</w:t>
      </w:r>
      <w:r w:rsidRPr="00902366">
        <w:t xml:space="preserve"> год.</w:t>
      </w:r>
    </w:p>
    <w:p w:rsidR="00AC5DA7" w:rsidRDefault="00AC5DA7" w:rsidP="00E53538">
      <w:pPr>
        <w:autoSpaceDE w:val="0"/>
        <w:autoSpaceDN w:val="0"/>
        <w:adjustRightInd w:val="0"/>
        <w:ind w:firstLine="709"/>
        <w:jc w:val="both"/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Табунщиковского</w:t>
      </w:r>
      <w:r w:rsidRPr="00BA5539">
        <w:t xml:space="preserve"> сельского поселения Красносулинского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</w:p>
    <w:p w:rsidR="00AC5DA7" w:rsidRPr="00AD71D3" w:rsidRDefault="00AC5DA7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C5DA7" w:rsidRDefault="00AC5DA7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>
        <w:rPr>
          <w:szCs w:val="28"/>
        </w:rPr>
        <w:t>19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5DA7" w:rsidRDefault="00AC5DA7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>
        <w:t>9085,4тыс</w:t>
      </w:r>
      <w:r w:rsidRPr="00902366">
        <w:t xml:space="preserve">. рублей </w:t>
      </w:r>
      <w:r>
        <w:t>или 98,6 процента от запланированных параметров. Собственные н</w:t>
      </w:r>
      <w:r w:rsidRPr="00902366">
        <w:t xml:space="preserve">алоговые и неналоговые доходы </w:t>
      </w:r>
      <w:r>
        <w:t>поступили в объеме 2301,6 тыс. рублей</w:t>
      </w:r>
      <w:r w:rsidRPr="00902366">
        <w:t xml:space="preserve"> или </w:t>
      </w:r>
      <w:r>
        <w:t>95,4</w:t>
      </w:r>
      <w:r w:rsidRPr="00902366">
        <w:t xml:space="preserve"> процента от всех поступлений </w:t>
      </w:r>
      <w:r>
        <w:t xml:space="preserve">с уменьшением </w:t>
      </w:r>
      <w:r w:rsidRPr="00902366">
        <w:t xml:space="preserve">по сравнению с прошлым годом </w:t>
      </w:r>
      <w:r>
        <w:t>на</w:t>
      </w:r>
      <w:r w:rsidRPr="00902366">
        <w:t xml:space="preserve"> </w:t>
      </w:r>
      <w:r>
        <w:t>112,3</w:t>
      </w:r>
      <w:r w:rsidRPr="00902366">
        <w:t xml:space="preserve"> </w:t>
      </w:r>
      <w:r>
        <w:t>тыс</w:t>
      </w:r>
      <w:r w:rsidRPr="00902366">
        <w:t xml:space="preserve">. рублей. </w:t>
      </w:r>
    </w:p>
    <w:p w:rsidR="00AC5DA7" w:rsidRPr="00902366" w:rsidRDefault="00AC5DA7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Pr="00A0669C">
        <w:t>6783</w:t>
      </w:r>
      <w:r>
        <w:t>,8</w:t>
      </w:r>
      <w:r w:rsidRPr="00E04864">
        <w:t xml:space="preserve"> тыс. руб</w:t>
      </w:r>
      <w:r>
        <w:t>лей</w:t>
      </w:r>
      <w:r w:rsidRPr="00E04864">
        <w:t xml:space="preserve"> или </w:t>
      </w:r>
      <w:r>
        <w:t>36,9</w:t>
      </w:r>
      <w:r w:rsidRPr="00E04864">
        <w:t xml:space="preserve"> </w:t>
      </w:r>
      <w:r>
        <w:t>процента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AC5DA7" w:rsidRDefault="00AC5DA7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>
        <w:t>10 886,3</w:t>
      </w:r>
      <w:r w:rsidRPr="00772FE9">
        <w:t xml:space="preserve"> тыс. рублей или </w:t>
      </w:r>
      <w:r>
        <w:t>99,7</w:t>
      </w:r>
      <w:r w:rsidRPr="00772FE9">
        <w:t xml:space="preserve"> процент</w:t>
      </w:r>
      <w:r>
        <w:t>а от запланированных параметров. В</w:t>
      </w:r>
      <w:r w:rsidRPr="00772FE9">
        <w:t xml:space="preserve"> рамках реализации муниципальных программ</w:t>
      </w:r>
      <w:r>
        <w:t xml:space="preserve"> исполнены в объеме 9166,2</w:t>
      </w:r>
      <w:r w:rsidRPr="00772FE9">
        <w:t xml:space="preserve"> тыс. рублей или </w:t>
      </w:r>
      <w:r>
        <w:t xml:space="preserve">97,8 </w:t>
      </w:r>
      <w:r w:rsidRPr="00772FE9">
        <w:t>процента к плану. В общем объеме расходов программные расходы за 201</w:t>
      </w:r>
      <w:r>
        <w:t>9</w:t>
      </w:r>
      <w:r w:rsidRPr="00772FE9">
        <w:t xml:space="preserve"> год  составили </w:t>
      </w:r>
      <w:r>
        <w:t>97,2</w:t>
      </w:r>
      <w:r w:rsidRPr="00772FE9">
        <w:t xml:space="preserve"> процента</w:t>
      </w:r>
    </w:p>
    <w:p w:rsidR="00AC5DA7" w:rsidRDefault="00AC5DA7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>
        <w:rPr>
          <w:szCs w:val="28"/>
        </w:rPr>
        <w:t xml:space="preserve">дефицит </w:t>
      </w:r>
      <w:r w:rsidRPr="000140D0">
        <w:rPr>
          <w:szCs w:val="28"/>
        </w:rPr>
        <w:t xml:space="preserve">в объеме </w:t>
      </w:r>
      <w:r>
        <w:rPr>
          <w:szCs w:val="28"/>
        </w:rPr>
        <w:t>346,9 тыс.</w:t>
      </w:r>
      <w:r w:rsidRPr="000140D0">
        <w:rPr>
          <w:szCs w:val="28"/>
        </w:rPr>
        <w:t xml:space="preserve"> рублей.</w:t>
      </w:r>
    </w:p>
    <w:p w:rsidR="00AC5DA7" w:rsidRPr="00293618" w:rsidRDefault="00AC5DA7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>
        <w:rPr>
          <w:color w:val="000000"/>
        </w:rPr>
        <w:t>Табунщиковского</w:t>
      </w:r>
      <w:r w:rsidRPr="00293618">
        <w:rPr>
          <w:color w:val="000000"/>
        </w:rPr>
        <w:t xml:space="preserve"> сельского поселения</w:t>
      </w:r>
      <w:r w:rsidRPr="00293618">
        <w:rPr>
          <w:color w:val="000000"/>
          <w:szCs w:val="28"/>
        </w:rPr>
        <w:t xml:space="preserve"> Красносу</w:t>
      </w:r>
      <w:r>
        <w:rPr>
          <w:color w:val="000000"/>
          <w:szCs w:val="28"/>
        </w:rPr>
        <w:t>линского района на 2019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>
        <w:rPr>
          <w:color w:val="000000"/>
          <w:szCs w:val="28"/>
        </w:rPr>
        <w:t>8</w:t>
      </w:r>
      <w:r w:rsidRPr="00293618">
        <w:rPr>
          <w:color w:val="000000"/>
          <w:szCs w:val="28"/>
        </w:rPr>
        <w:t xml:space="preserve"> утвержденных Администрацией </w:t>
      </w:r>
      <w:r>
        <w:rPr>
          <w:color w:val="000000"/>
        </w:rPr>
        <w:t>Табунщиковского</w:t>
      </w:r>
      <w:r w:rsidRPr="00293618">
        <w:rPr>
          <w:color w:val="000000"/>
        </w:rPr>
        <w:t xml:space="preserve">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AC5DA7" w:rsidRDefault="00AC5DA7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Табунщиковского сельского поселения</w:t>
      </w:r>
      <w:r w:rsidRPr="004C7008">
        <w:rPr>
          <w:color w:val="000000"/>
          <w:szCs w:val="28"/>
        </w:rPr>
        <w:t>.</w:t>
      </w:r>
    </w:p>
    <w:p w:rsidR="00AC5DA7" w:rsidRPr="00293618" w:rsidRDefault="00AC5DA7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Основные приоритеты расходов в 201</w:t>
      </w:r>
      <w:r>
        <w:rPr>
          <w:color w:val="000000"/>
          <w:szCs w:val="28"/>
        </w:rPr>
        <w:t>9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Pr="00A0669C">
        <w:rPr>
          <w:color w:val="000000"/>
          <w:szCs w:val="28"/>
        </w:rPr>
        <w:t>2553</w:t>
      </w:r>
      <w:r>
        <w:rPr>
          <w:color w:val="000000"/>
          <w:szCs w:val="28"/>
        </w:rPr>
        <w:t>,</w:t>
      </w:r>
      <w:r w:rsidRPr="00A0669C">
        <w:rPr>
          <w:color w:val="000000"/>
          <w:szCs w:val="28"/>
        </w:rPr>
        <w:t>9</w:t>
      </w:r>
      <w:r w:rsidRPr="00293618">
        <w:rPr>
          <w:color w:val="000000"/>
          <w:szCs w:val="28"/>
        </w:rPr>
        <w:t xml:space="preserve"> тыс. рублей. Это </w:t>
      </w:r>
      <w:r>
        <w:rPr>
          <w:color w:val="000000"/>
          <w:szCs w:val="28"/>
        </w:rPr>
        <w:t>27,1 процента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принятие </w:t>
      </w:r>
      <w:r>
        <w:t xml:space="preserve">решения Собрания депутатов Табунщиковского сельского поселения </w:t>
      </w:r>
      <w:r w:rsidRPr="004C7008">
        <w:t xml:space="preserve">«О бюджете </w:t>
      </w:r>
      <w:r>
        <w:t>Табунщиковского</w:t>
      </w:r>
      <w:r w:rsidRPr="004C7008">
        <w:t xml:space="preserve"> сельского поселени</w:t>
      </w:r>
      <w:r>
        <w:t>я Красносулинского района на 2020 год и плановый период 2021</w:t>
      </w:r>
      <w:r w:rsidRPr="004C7008">
        <w:t xml:space="preserve"> и 20</w:t>
      </w:r>
      <w:r>
        <w:t>22</w:t>
      </w:r>
      <w:r w:rsidRPr="004C7008">
        <w:t xml:space="preserve"> годов».</w:t>
      </w:r>
      <w:r w:rsidRPr="00082124">
        <w:t xml:space="preserve"> 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Табунщиковском сельском поселении</w:t>
      </w:r>
      <w:r w:rsidRPr="00CF21BC">
        <w:t xml:space="preserve"> постановлением </w:t>
      </w:r>
      <w:r>
        <w:t>Администрации Табунщиковского сельского поселения</w:t>
      </w:r>
      <w:r w:rsidRPr="00CF21BC">
        <w:t xml:space="preserve"> от </w:t>
      </w:r>
      <w:r>
        <w:t>26.</w:t>
      </w:r>
      <w:r w:rsidRPr="00CF21BC">
        <w:t>0</w:t>
      </w:r>
      <w:r>
        <w:t>2</w:t>
      </w:r>
      <w:r w:rsidRPr="00CF21BC">
        <w:t>.201</w:t>
      </w:r>
      <w:r>
        <w:t>9</w:t>
      </w:r>
      <w:r w:rsidRPr="00CF21BC">
        <w:t xml:space="preserve"> № </w:t>
      </w:r>
      <w:r>
        <w:t xml:space="preserve">10 внесены изменения </w:t>
      </w:r>
      <w:r w:rsidRPr="00CF21BC">
        <w:t xml:space="preserve"> </w:t>
      </w:r>
      <w:r>
        <w:t>в</w:t>
      </w:r>
      <w:r w:rsidRPr="00CF21BC">
        <w:t xml:space="preserve"> бюджетный прогноз </w:t>
      </w:r>
      <w:r>
        <w:t>Табунщиковского сельского поселения</w:t>
      </w:r>
      <w:r w:rsidRPr="00CF21BC">
        <w:t xml:space="preserve"> на период 2017 – 202</w:t>
      </w:r>
      <w:r>
        <w:t>2</w:t>
      </w:r>
      <w:r w:rsidRPr="00CF21BC">
        <w:t xml:space="preserve"> годов.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>
        <w:t>Решение з</w:t>
      </w:r>
      <w:r w:rsidRPr="00223F21">
        <w:t>адачи сбалансированности бюджета поселения и нормативно-методического обеспечения бюджетного процесса решались в 201</w:t>
      </w:r>
      <w:r>
        <w:t>9</w:t>
      </w:r>
      <w:r w:rsidRPr="00223F21">
        <w:t xml:space="preserve"> году путем внесения ряда изменений в решения Собрания депутатов </w:t>
      </w:r>
      <w:r>
        <w:t>Табунщиковского сельского поселения от 26</w:t>
      </w:r>
      <w:r w:rsidRPr="00223F21">
        <w:t>.12.201</w:t>
      </w:r>
      <w:r>
        <w:t>8</w:t>
      </w:r>
      <w:r w:rsidRPr="00223F21">
        <w:t xml:space="preserve"> № </w:t>
      </w:r>
      <w:r>
        <w:t>18</w:t>
      </w:r>
      <w:r w:rsidRPr="00223F21">
        <w:t xml:space="preserve"> «О бюджете </w:t>
      </w:r>
      <w:r>
        <w:t>Табунщиковского</w:t>
      </w:r>
      <w:r w:rsidRPr="00223F21">
        <w:t xml:space="preserve"> сельского поселения Красносулинского района на 201</w:t>
      </w:r>
      <w:r>
        <w:t>9 год и плановый период 2020</w:t>
      </w:r>
      <w:r w:rsidRPr="00223F21">
        <w:t xml:space="preserve"> и 20</w:t>
      </w:r>
      <w:r>
        <w:t>21</w:t>
      </w:r>
      <w:r w:rsidRPr="00223F21">
        <w:t xml:space="preserve"> годов», от </w:t>
      </w:r>
      <w:r>
        <w:t>07</w:t>
      </w:r>
      <w:r w:rsidRPr="00223F21">
        <w:t>.08.2007 № 1</w:t>
      </w:r>
      <w:r>
        <w:t>4</w:t>
      </w:r>
      <w:r w:rsidRPr="00223F21">
        <w:t xml:space="preserve"> «Об утверждении Положения о бюджетном процессе в муниципальном образовании «</w:t>
      </w:r>
      <w:r>
        <w:t xml:space="preserve">Табунщиковское сельское поселение», </w:t>
      </w:r>
      <w:r w:rsidRPr="00650210">
        <w:t xml:space="preserve">от 20.11.2017 № </w:t>
      </w:r>
      <w:r>
        <w:t>139</w:t>
      </w:r>
      <w:r w:rsidRPr="00650210">
        <w:t xml:space="preserve"> «О налоге на имущество физических лиц»</w:t>
      </w:r>
      <w:r>
        <w:t>,</w:t>
      </w:r>
      <w:r w:rsidRPr="00650210">
        <w:t xml:space="preserve"> от 30.09.2013 № </w:t>
      </w:r>
      <w:r>
        <w:t>7</w:t>
      </w:r>
      <w:r w:rsidRPr="00650210">
        <w:t xml:space="preserve"> «О земельном налоге»</w:t>
      </w:r>
      <w:r>
        <w:t>.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 w:rsidRPr="00650210">
        <w:t xml:space="preserve">В рамках обеспечения открытости и прозрачности управления муниципальными финансами принято решение Собрания депутатов </w:t>
      </w:r>
      <w:r>
        <w:t>Табунщиковского</w:t>
      </w:r>
      <w:r w:rsidRPr="00650210">
        <w:t xml:space="preserve"> сельского поселения от </w:t>
      </w:r>
      <w:r>
        <w:t>12</w:t>
      </w:r>
      <w:r w:rsidRPr="00650210">
        <w:t>.04.201</w:t>
      </w:r>
      <w:r>
        <w:t>9 № 24</w:t>
      </w:r>
      <w:r w:rsidRPr="00650210">
        <w:t xml:space="preserve"> «Об отчете об исполнении бюджета </w:t>
      </w:r>
      <w:r>
        <w:t>Табунщиковского</w:t>
      </w:r>
      <w:r w:rsidRPr="00650210">
        <w:t xml:space="preserve"> сельского поселения Красносулинского района за 201</w:t>
      </w:r>
      <w:r>
        <w:t xml:space="preserve">8 год», приняты постановления Администрации Табунщиковского сельского поселения от 18.04.2019 №28 </w:t>
      </w:r>
      <w:r w:rsidRPr="00650210">
        <w:t>«Об отчете об исполнении бюджета</w:t>
      </w:r>
      <w:r>
        <w:t xml:space="preserve"> Табунщиковского сельского поселения за I квартал 2019</w:t>
      </w:r>
      <w:r w:rsidRPr="00650210">
        <w:t xml:space="preserve"> г</w:t>
      </w:r>
      <w:r>
        <w:t>ода</w:t>
      </w:r>
      <w:r w:rsidRPr="00650210">
        <w:t>»</w:t>
      </w:r>
      <w:r>
        <w:t>, от 09.07.2019 №60</w:t>
      </w:r>
      <w:r w:rsidRPr="00BB0000">
        <w:t xml:space="preserve"> </w:t>
      </w:r>
      <w:r>
        <w:t>«</w:t>
      </w:r>
      <w:r w:rsidRPr="00BB0000">
        <w:t xml:space="preserve">Об отчете об исполнении </w:t>
      </w:r>
      <w:r w:rsidRPr="0092610C">
        <w:t xml:space="preserve">бюджета </w:t>
      </w:r>
      <w:r>
        <w:t>Табунщиковского</w:t>
      </w:r>
      <w:r w:rsidRPr="0092610C">
        <w:t xml:space="preserve"> сельского поселения </w:t>
      </w:r>
      <w:r>
        <w:t>за I полугодие 2019</w:t>
      </w:r>
      <w:r w:rsidRPr="00BB0000">
        <w:t xml:space="preserve"> г</w:t>
      </w:r>
      <w:r>
        <w:t>ода», от 09.10.2019 №81</w:t>
      </w:r>
      <w:r w:rsidRPr="00BB0000">
        <w:t xml:space="preserve">«Об отчете об исполнении </w:t>
      </w:r>
      <w:r w:rsidRPr="0092610C">
        <w:t xml:space="preserve">бюджета </w:t>
      </w:r>
      <w:r>
        <w:t>Табунщиковского</w:t>
      </w:r>
      <w:r w:rsidRPr="0092610C">
        <w:t xml:space="preserve"> сельского поселения </w:t>
      </w:r>
      <w:r w:rsidRPr="00BB0000">
        <w:t>за 9 месяцев 201</w:t>
      </w:r>
      <w:r>
        <w:t>9</w:t>
      </w:r>
      <w:r w:rsidRPr="00BB0000">
        <w:t xml:space="preserve"> г</w:t>
      </w:r>
      <w:r>
        <w:t>ода</w:t>
      </w:r>
      <w:r w:rsidRPr="00BB0000">
        <w:t>».</w:t>
      </w:r>
      <w:r w:rsidRPr="0092610C">
        <w:t xml:space="preserve"> По проектам </w:t>
      </w:r>
      <w:r>
        <w:t xml:space="preserve">решений Собрания депутатов </w:t>
      </w:r>
      <w:r w:rsidRPr="0092610C">
        <w:t xml:space="preserve"> «Об отчете об исполнении бюджета </w:t>
      </w:r>
      <w:r>
        <w:t>Табунщиковского</w:t>
      </w:r>
      <w:r w:rsidRPr="0092610C">
        <w:t xml:space="preserve"> сельского поселения за 201</w:t>
      </w:r>
      <w:r>
        <w:t>8</w:t>
      </w:r>
      <w:r w:rsidRPr="0092610C">
        <w:t xml:space="preserve"> год» и «О бюджете </w:t>
      </w:r>
      <w:r>
        <w:t>Табунщиковского</w:t>
      </w:r>
      <w:r w:rsidRPr="0092610C">
        <w:t xml:space="preserve"> сельского поселени</w:t>
      </w:r>
      <w:r>
        <w:t>я Красносулинского района на 2020</w:t>
      </w:r>
      <w:r w:rsidRPr="0092610C">
        <w:t xml:space="preserve"> год и плановый период 20</w:t>
      </w:r>
      <w:r>
        <w:t>21</w:t>
      </w:r>
      <w:r w:rsidRPr="0092610C">
        <w:t xml:space="preserve"> и 202</w:t>
      </w:r>
      <w:r>
        <w:t>2</w:t>
      </w:r>
      <w:r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>
        <w:t>местного самоуправления</w:t>
      </w:r>
      <w:r w:rsidRPr="0092610C">
        <w:t xml:space="preserve"> с общественностью.</w:t>
      </w:r>
    </w:p>
    <w:p w:rsidR="00AC5DA7" w:rsidRDefault="00AC5DA7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</w:t>
      </w:r>
      <w:r>
        <w:t>Табунщиковского</w:t>
      </w:r>
      <w:r w:rsidRPr="00350349">
        <w:t xml:space="preserve"> сельского поселения размещены материалы «Бюджет для граждан» по решениям Собрания депутатов </w:t>
      </w:r>
      <w:r>
        <w:t>Табунщиковского</w:t>
      </w:r>
      <w:r w:rsidRPr="00350349">
        <w:t xml:space="preserve"> сельского поселения «Об отчете об исполнении бюджета </w:t>
      </w:r>
      <w:r>
        <w:t>Табунщиковского</w:t>
      </w:r>
      <w:r w:rsidRPr="00350349">
        <w:t xml:space="preserve"> сельского поселения Красносулинского района за 201</w:t>
      </w:r>
      <w:r>
        <w:t>8</w:t>
      </w:r>
      <w:r w:rsidRPr="00350349">
        <w:t xml:space="preserve"> год» и «О бюджете </w:t>
      </w:r>
      <w:r>
        <w:t>Табунщиковского</w:t>
      </w:r>
      <w:r w:rsidRPr="00350349">
        <w:t xml:space="preserve"> сельского поселени</w:t>
      </w:r>
      <w:r>
        <w:t>я Красносулинского района на 2020</w:t>
      </w:r>
      <w:r w:rsidRPr="00350349">
        <w:t xml:space="preserve"> год и плановый период 20</w:t>
      </w:r>
      <w:r>
        <w:t>21</w:t>
      </w:r>
      <w:r w:rsidRPr="00350349">
        <w:t xml:space="preserve"> и 20</w:t>
      </w:r>
      <w:r>
        <w:t>22</w:t>
      </w:r>
      <w:r w:rsidRPr="00350349">
        <w:t xml:space="preserve"> годов». 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</w:p>
    <w:p w:rsidR="00AC5DA7" w:rsidRPr="004B6A3D" w:rsidRDefault="00AC5DA7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Табунщиковского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>
        <w:rPr>
          <w:color w:val="000000"/>
          <w:szCs w:val="28"/>
        </w:rPr>
        <w:t>,</w:t>
      </w:r>
      <w:r w:rsidRPr="007D6350">
        <w:t xml:space="preserve"> </w:t>
      </w:r>
      <w:r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>
        <w:rPr>
          <w:color w:val="000000"/>
          <w:szCs w:val="28"/>
        </w:rPr>
        <w:t>муниципального</w:t>
      </w:r>
      <w:r w:rsidRPr="007D6350">
        <w:rPr>
          <w:color w:val="000000"/>
          <w:szCs w:val="28"/>
        </w:rPr>
        <w:t xml:space="preserve"> долга </w:t>
      </w:r>
      <w:r>
        <w:rPr>
          <w:color w:val="000000"/>
          <w:szCs w:val="28"/>
        </w:rPr>
        <w:t>Табунщиковского сельского поселения</w:t>
      </w:r>
      <w:r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Pr="00344188">
        <w:rPr>
          <w:color w:val="000000"/>
          <w:szCs w:val="28"/>
        </w:rPr>
        <w:t xml:space="preserve">Расходы на обслуживание муниципального долга </w:t>
      </w:r>
      <w:r>
        <w:rPr>
          <w:color w:val="000000"/>
          <w:szCs w:val="28"/>
        </w:rPr>
        <w:t>Табунщиковского</w:t>
      </w:r>
      <w:r w:rsidRPr="00344188">
        <w:rPr>
          <w:color w:val="000000"/>
          <w:szCs w:val="28"/>
        </w:rPr>
        <w:t xml:space="preserve"> сельского поселения были предусмотрены в пределах норматива, установленного Бюджетным кодексом Российской Федерации</w:t>
      </w:r>
      <w:r>
        <w:rPr>
          <w:color w:val="000000"/>
          <w:szCs w:val="28"/>
        </w:rPr>
        <w:t>.</w:t>
      </w:r>
    </w:p>
    <w:p w:rsidR="00AC5DA7" w:rsidRDefault="00AC5DA7" w:rsidP="00D8706E">
      <w:pPr>
        <w:ind w:firstLine="709"/>
        <w:jc w:val="both"/>
        <w:rPr>
          <w:color w:val="000000"/>
          <w:szCs w:val="28"/>
        </w:rPr>
      </w:pPr>
      <w:r w:rsidRPr="007A6A87">
        <w:rPr>
          <w:color w:val="000000"/>
          <w:szCs w:val="28"/>
        </w:rPr>
        <w:t>В 201</w:t>
      </w:r>
      <w:r>
        <w:rPr>
          <w:color w:val="000000"/>
          <w:szCs w:val="28"/>
        </w:rPr>
        <w:t>9</w:t>
      </w:r>
      <w:r w:rsidRPr="007A6A87">
        <w:rPr>
          <w:color w:val="000000"/>
          <w:szCs w:val="28"/>
        </w:rPr>
        <w:t xml:space="preserve"> году полномочия по внутреннему </w:t>
      </w:r>
      <w:r>
        <w:rPr>
          <w:color w:val="000000"/>
          <w:szCs w:val="28"/>
        </w:rPr>
        <w:t>муниципальному</w:t>
      </w:r>
      <w:r w:rsidRPr="007A6A87">
        <w:rPr>
          <w:color w:val="000000"/>
          <w:szCs w:val="28"/>
        </w:rPr>
        <w:t xml:space="preserve"> финансовому контролю за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>
        <w:rPr>
          <w:color w:val="000000"/>
          <w:szCs w:val="28"/>
        </w:rPr>
        <w:t>К-Планирование, «АЦК-Финансы»).</w:t>
      </w:r>
    </w:p>
    <w:p w:rsidR="00AC5DA7" w:rsidRDefault="00AC5DA7" w:rsidP="00D8706E">
      <w:pPr>
        <w:ind w:firstLine="709"/>
        <w:jc w:val="both"/>
        <w:rPr>
          <w:color w:val="000000"/>
          <w:szCs w:val="28"/>
        </w:rPr>
      </w:pPr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>по контролю планов-закупок, планов-графиков закупок, извещений, протоколов и сведений о контрактах на не превышени</w:t>
      </w:r>
      <w:r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:rsidR="00AC5DA7" w:rsidRDefault="00AC5DA7" w:rsidP="00D8706E">
      <w:pPr>
        <w:ind w:firstLine="709"/>
        <w:jc w:val="both"/>
        <w:rPr>
          <w:color w:val="000000"/>
          <w:szCs w:val="28"/>
        </w:rPr>
      </w:pPr>
      <w:r w:rsidRPr="000E1983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color w:val="000000"/>
          <w:szCs w:val="28"/>
        </w:rPr>
        <w:t>Табунщиковского</w:t>
      </w:r>
      <w:r w:rsidRPr="000E1983">
        <w:rPr>
          <w:color w:val="000000"/>
          <w:szCs w:val="28"/>
        </w:rPr>
        <w:t xml:space="preserve"> сельского поселения от 2</w:t>
      </w:r>
      <w:r>
        <w:rPr>
          <w:color w:val="000000"/>
          <w:szCs w:val="28"/>
        </w:rPr>
        <w:t>8</w:t>
      </w:r>
      <w:r w:rsidRPr="000E1983">
        <w:rPr>
          <w:color w:val="000000"/>
          <w:szCs w:val="28"/>
        </w:rPr>
        <w:t>.12.2017 №</w:t>
      </w:r>
      <w:r>
        <w:rPr>
          <w:color w:val="000000"/>
          <w:szCs w:val="28"/>
        </w:rPr>
        <w:t>127</w:t>
      </w:r>
      <w:r w:rsidRPr="000E1983">
        <w:rPr>
          <w:color w:val="000000"/>
          <w:szCs w:val="28"/>
        </w:rPr>
        <w:t xml:space="preserve"> «Об утверждении Порядка осуществления Администрацией </w:t>
      </w:r>
      <w:r>
        <w:rPr>
          <w:color w:val="000000"/>
          <w:szCs w:val="28"/>
        </w:rPr>
        <w:t>Табунщиковского</w:t>
      </w:r>
      <w:r w:rsidRPr="000E1983">
        <w:rPr>
          <w:color w:val="000000"/>
          <w:szCs w:val="28"/>
        </w:rPr>
        <w:t xml:space="preserve"> сельского поселения полномочий по внутреннему муниципальному финансовому контролю» и на основании распоряжения Администрации </w:t>
      </w:r>
      <w:r>
        <w:rPr>
          <w:color w:val="000000"/>
          <w:szCs w:val="28"/>
        </w:rPr>
        <w:t>Табунщиковского</w:t>
      </w:r>
      <w:r w:rsidRPr="000E1983">
        <w:rPr>
          <w:color w:val="000000"/>
          <w:szCs w:val="28"/>
        </w:rPr>
        <w:t xml:space="preserve"> сельского поселения от 28.12.2018 №</w:t>
      </w:r>
      <w:r>
        <w:rPr>
          <w:color w:val="000000"/>
          <w:szCs w:val="28"/>
        </w:rPr>
        <w:t>29</w:t>
      </w:r>
      <w:r w:rsidRPr="000E1983">
        <w:rPr>
          <w:color w:val="000000"/>
          <w:szCs w:val="28"/>
        </w:rPr>
        <w:t xml:space="preserve"> «Об утверждении Плана проведения мероприятий по внутреннему муниципальному финансовому контролю на 2019 год»   проведена плановая проверка финансово-хозяйственной деятельности и целевого использования средств субсидий, выделенных на выполнение муниципального задания,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 «</w:t>
      </w:r>
      <w:r>
        <w:rPr>
          <w:color w:val="000000"/>
          <w:szCs w:val="28"/>
        </w:rPr>
        <w:t>Табунщиковский</w:t>
      </w:r>
      <w:r w:rsidRPr="000E1983">
        <w:rPr>
          <w:color w:val="000000"/>
          <w:szCs w:val="28"/>
        </w:rPr>
        <w:t xml:space="preserve"> сельский Дом культуры»</w:t>
      </w:r>
    </w:p>
    <w:p w:rsidR="00AC5DA7" w:rsidRPr="00293618" w:rsidRDefault="00AC5DA7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AC5DA7" w:rsidRPr="00293618" w:rsidRDefault="00AC5DA7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AC5DA7" w:rsidRPr="00293618" w:rsidRDefault="00AC5DA7" w:rsidP="00D2711A">
      <w:pPr>
        <w:widowControl w:val="0"/>
        <w:autoSpaceDE w:val="0"/>
        <w:autoSpaceDN w:val="0"/>
        <w:adjustRightInd w:val="0"/>
        <w:rPr>
          <w:color w:val="000000"/>
        </w:rPr>
      </w:pPr>
    </w:p>
    <w:p w:rsidR="00AC5DA7" w:rsidRPr="00B41055" w:rsidRDefault="00AC5DA7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основных </w:t>
      </w:r>
    </w:p>
    <w:p w:rsidR="00AC5DA7" w:rsidRPr="00B41055" w:rsidRDefault="00AC5DA7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AC5DA7" w:rsidRPr="007A5F08" w:rsidRDefault="00AC5DA7" w:rsidP="00B41055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AC5DA7" w:rsidRDefault="00AC5DA7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AC5DA7" w:rsidRPr="00B41055" w:rsidRDefault="00AC5DA7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9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AC5DA7" w:rsidRDefault="00AC5DA7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AC5DA7" w:rsidRDefault="00AC5DA7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AC5DA7" w:rsidRPr="00B41055" w:rsidRDefault="00AC5DA7" w:rsidP="00B41055">
      <w:pPr>
        <w:ind w:firstLine="709"/>
        <w:jc w:val="center"/>
        <w:rPr>
          <w:b/>
        </w:rPr>
      </w:pPr>
      <w:r w:rsidRPr="00DB4BF3">
        <w:rPr>
          <w:b/>
        </w:rPr>
        <w:t xml:space="preserve">Раздел 3. </w:t>
      </w:r>
      <w:r w:rsidRPr="00B41055">
        <w:rPr>
          <w:b/>
        </w:rPr>
        <w:t xml:space="preserve">Анализ факторов, повлиявших </w:t>
      </w:r>
    </w:p>
    <w:p w:rsidR="00AC5DA7" w:rsidRDefault="00AC5DA7" w:rsidP="00B41055">
      <w:pPr>
        <w:ind w:firstLine="709"/>
        <w:jc w:val="center"/>
        <w:rPr>
          <w:b/>
        </w:rPr>
      </w:pPr>
      <w:r w:rsidRPr="00B41055">
        <w:rPr>
          <w:b/>
        </w:rPr>
        <w:t xml:space="preserve">на ход реализации </w:t>
      </w:r>
      <w:r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AC5DA7" w:rsidRDefault="00AC5DA7" w:rsidP="00D2711A">
      <w:pPr>
        <w:ind w:firstLine="709"/>
        <w:jc w:val="center"/>
        <w:rPr>
          <w:b/>
        </w:rPr>
      </w:pPr>
    </w:p>
    <w:p w:rsidR="00AC5DA7" w:rsidRDefault="00AC5DA7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увеличение </w:t>
      </w:r>
      <w:r w:rsidRPr="00FE6941">
        <w:t xml:space="preserve">темпов поступления доходов в бюджет </w:t>
      </w:r>
      <w:r>
        <w:t>Табунщиковского</w:t>
      </w:r>
      <w:r w:rsidRPr="00FE6941">
        <w:t xml:space="preserve"> сельского поселения по отношению к запланированному объему поступления доходов.</w:t>
      </w:r>
      <w:r w:rsidRPr="00541223">
        <w:t xml:space="preserve"> По итогам 201</w:t>
      </w:r>
      <w:r>
        <w:t>9</w:t>
      </w:r>
      <w:r w:rsidRPr="00541223">
        <w:t xml:space="preserve"> года объем поступлений по налоговым и неналоговым доходам</w:t>
      </w:r>
      <w:r>
        <w:t xml:space="preserve"> составил 2301,6 тыс. рублей</w:t>
      </w:r>
      <w:r w:rsidRPr="00902366">
        <w:t xml:space="preserve"> или </w:t>
      </w:r>
      <w:r>
        <w:t>95,4</w:t>
      </w:r>
      <w:r w:rsidRPr="00902366">
        <w:t xml:space="preserve"> процента от всех поступлений </w:t>
      </w:r>
      <w:r>
        <w:t xml:space="preserve">с уменьшением </w:t>
      </w:r>
      <w:r w:rsidRPr="00902366">
        <w:t xml:space="preserve">по сравнению с прошлым годом </w:t>
      </w:r>
      <w:r>
        <w:t>на</w:t>
      </w:r>
      <w:r w:rsidRPr="00902366">
        <w:t xml:space="preserve"> </w:t>
      </w:r>
      <w:r>
        <w:t>112,3</w:t>
      </w:r>
      <w:r w:rsidRPr="00902366">
        <w:t xml:space="preserve"> </w:t>
      </w:r>
      <w:r>
        <w:t>тыс</w:t>
      </w:r>
      <w:r w:rsidRPr="00902366">
        <w:t>. рублей</w:t>
      </w:r>
      <w:r w:rsidRPr="00541223">
        <w:t>;</w:t>
      </w:r>
    </w:p>
    <w:p w:rsidR="00AC5DA7" w:rsidRDefault="00AC5DA7" w:rsidP="00EE1B19">
      <w:pPr>
        <w:ind w:firstLine="709"/>
        <w:jc w:val="both"/>
      </w:pPr>
    </w:p>
    <w:p w:rsidR="00AC5DA7" w:rsidRPr="00F95AEA" w:rsidRDefault="00AC5DA7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AC5DA7" w:rsidRDefault="00AC5DA7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AC5DA7" w:rsidRDefault="00AC5DA7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C5DA7" w:rsidRDefault="00AC5DA7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C5DA7" w:rsidRPr="00AC5E7A" w:rsidRDefault="00AC5DA7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>
        <w:rPr>
          <w:kern w:val="2"/>
        </w:rPr>
        <w:t>9</w:t>
      </w:r>
      <w:r w:rsidRPr="00AC5E7A">
        <w:rPr>
          <w:kern w:val="2"/>
        </w:rPr>
        <w:t xml:space="preserve"> году из </w:t>
      </w:r>
      <w:r>
        <w:rPr>
          <w:kern w:val="2"/>
        </w:rPr>
        <w:t>8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программой, </w:t>
      </w:r>
      <w:r>
        <w:rPr>
          <w:kern w:val="2"/>
        </w:rPr>
        <w:t>одно</w:t>
      </w:r>
      <w:r w:rsidRPr="00AC5E7A">
        <w:rPr>
          <w:kern w:val="2"/>
        </w:rPr>
        <w:t xml:space="preserve"> был</w:t>
      </w:r>
      <w:r>
        <w:rPr>
          <w:kern w:val="2"/>
        </w:rPr>
        <w:t>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AC5DA7" w:rsidRDefault="00AC5DA7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Табунщиковского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>
        <w:t>8 № 18</w:t>
      </w:r>
      <w:r w:rsidRPr="007D71B3">
        <w:t xml:space="preserve"> «О бюджете </w:t>
      </w:r>
      <w:r>
        <w:t>Табунщиковского</w:t>
      </w:r>
      <w:r w:rsidRPr="007D71B3">
        <w:t xml:space="preserve"> сельского поселения Красносулинского района на 201</w:t>
      </w:r>
      <w:r>
        <w:t>9 год и плановый период 2020 и 2021</w:t>
      </w:r>
      <w:r w:rsidRPr="007D71B3">
        <w:t xml:space="preserve"> годов».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9</w:t>
      </w:r>
      <w:r w:rsidRPr="00293618">
        <w:rPr>
          <w:color w:val="000000"/>
        </w:rPr>
        <w:t xml:space="preserve"> году составил </w:t>
      </w:r>
      <w:r>
        <w:rPr>
          <w:color w:val="000000"/>
        </w:rPr>
        <w:t>4571,8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</w:t>
      </w:r>
      <w:r w:rsidRPr="00293618">
        <w:rPr>
          <w:color w:val="000000"/>
        </w:rPr>
        <w:t xml:space="preserve"> </w:t>
      </w:r>
      <w:r>
        <w:rPr>
          <w:color w:val="000000"/>
        </w:rPr>
        <w:t>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 xml:space="preserve">средств муниципальной программы по итогам 2019 года составило 4 454,0 тыс. рублей, или </w:t>
      </w:r>
      <w:r w:rsidRPr="00293618">
        <w:rPr>
          <w:color w:val="000000"/>
        </w:rPr>
        <w:t>9</w:t>
      </w:r>
      <w:r>
        <w:rPr>
          <w:color w:val="000000"/>
        </w:rPr>
        <w:t>8</w:t>
      </w:r>
      <w:r w:rsidRPr="00293618">
        <w:rPr>
          <w:color w:val="000000"/>
        </w:rPr>
        <w:t>,</w:t>
      </w:r>
      <w:r>
        <w:rPr>
          <w:color w:val="000000"/>
        </w:rPr>
        <w:t>4 процента.</w:t>
      </w:r>
      <w:r w:rsidRPr="00C9130F">
        <w:t xml:space="preserve"> </w:t>
      </w:r>
      <w:r w:rsidRPr="00C9130F">
        <w:rPr>
          <w:color w:val="000000"/>
        </w:rPr>
        <w:t xml:space="preserve">Общий объем экономии по расходам в рамках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составил </w:t>
      </w:r>
      <w:r>
        <w:rPr>
          <w:color w:val="000000"/>
        </w:rPr>
        <w:t>97,4</w:t>
      </w:r>
      <w:r w:rsidRPr="00C9130F">
        <w:rPr>
          <w:color w:val="000000"/>
        </w:rPr>
        <w:t xml:space="preserve"> тыс. рублей.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C5DA7" w:rsidRPr="00682C1E" w:rsidRDefault="00AC5DA7" w:rsidP="00EE1B19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«Обеспечение деятельности Администрации </w:t>
      </w:r>
      <w:r>
        <w:t xml:space="preserve">Табунщиковского </w:t>
      </w:r>
      <w:r w:rsidRPr="006B7050">
        <w:t>сельского поселения»</w:t>
      </w:r>
      <w:r w:rsidRPr="00682C1E">
        <w:t xml:space="preserve"> подпрограммы 2 </w:t>
      </w:r>
      <w:r w:rsidRPr="00AC5E7A">
        <w:t>«Нормативно-методическое обеспечение и организация бюджетного процесса» на 201</w:t>
      </w:r>
      <w:r>
        <w:t>9</w:t>
      </w:r>
      <w:r w:rsidRPr="00AC5E7A">
        <w:t xml:space="preserve"> год п</w:t>
      </w:r>
      <w:r w:rsidRPr="00682C1E">
        <w:t xml:space="preserve">редусмотрено </w:t>
      </w:r>
      <w:r>
        <w:t>4 454,0</w:t>
      </w:r>
      <w:r w:rsidRPr="00682C1E">
        <w:t xml:space="preserve"> тыс. рублей. </w:t>
      </w:r>
    </w:p>
    <w:p w:rsidR="00AC5DA7" w:rsidRDefault="00AC5DA7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основного мероприятия по итогам 201</w:t>
      </w:r>
      <w:r>
        <w:t>9</w:t>
      </w:r>
      <w:r w:rsidRPr="00682C1E">
        <w:t xml:space="preserve"> года заключено </w:t>
      </w:r>
      <w:r>
        <w:t>51</w:t>
      </w:r>
      <w:r w:rsidRPr="00682C1E">
        <w:t xml:space="preserve"> муниципальных контрактов (договоров) на сумму </w:t>
      </w:r>
      <w:r>
        <w:t>808,6</w:t>
      </w:r>
      <w:r w:rsidRPr="00682C1E">
        <w:t xml:space="preserve"> тыс. рублей. Фактическое освоение средств </w:t>
      </w:r>
      <w:r>
        <w:t xml:space="preserve">по данному мероприятию </w:t>
      </w:r>
      <w:r w:rsidRPr="00682C1E">
        <w:t xml:space="preserve">составило </w:t>
      </w:r>
      <w:r>
        <w:t>4454,0</w:t>
      </w:r>
      <w:r w:rsidRPr="00682C1E">
        <w:t>тыс</w:t>
      </w:r>
      <w:r>
        <w:t>. рублей или 97,4 процента.</w:t>
      </w:r>
      <w:r w:rsidRPr="00435207">
        <w:t xml:space="preserve"> В результате исполнения сложилась экономия по расходам в рамках данной подпрограммы в сумме </w:t>
      </w:r>
      <w:r>
        <w:t>117,8</w:t>
      </w:r>
      <w:r w:rsidRPr="00435207">
        <w:t xml:space="preserve"> тыс. рублей в связи </w:t>
      </w:r>
      <w:r>
        <w:t>с</w:t>
      </w:r>
      <w:r w:rsidRPr="00435207">
        <w:t xml:space="preserve"> экономией по итогам конкурсных процедур.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9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AC5DA7" w:rsidRPr="0070326C" w:rsidRDefault="00AC5DA7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AC5DA7" w:rsidRDefault="00AC5DA7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2019 год</w:t>
      </w:r>
    </w:p>
    <w:p w:rsidR="00AC5DA7" w:rsidRDefault="00AC5DA7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9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по </w:t>
      </w:r>
      <w:r>
        <w:rPr>
          <w:color w:val="000000"/>
          <w:szCs w:val="28"/>
        </w:rPr>
        <w:t>5</w:t>
      </w:r>
      <w:r w:rsidRPr="000A6ABD">
        <w:rPr>
          <w:color w:val="000000"/>
          <w:szCs w:val="28"/>
        </w:rPr>
        <w:t xml:space="preserve"> из которых фактически значения соответствуют плановым, по </w:t>
      </w:r>
      <w:r>
        <w:rPr>
          <w:color w:val="000000"/>
          <w:szCs w:val="28"/>
        </w:rPr>
        <w:t>4</w:t>
      </w:r>
      <w:r w:rsidRPr="000A6ABD">
        <w:rPr>
          <w:color w:val="000000"/>
          <w:szCs w:val="28"/>
        </w:rPr>
        <w:t xml:space="preserve"> показателям не достигнуты плановые значения.</w:t>
      </w:r>
    </w:p>
    <w:p w:rsidR="00AC5DA7" w:rsidRDefault="00AC5DA7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Наличие бюджетного прогноза </w:t>
      </w:r>
      <w:r>
        <w:rPr>
          <w:color w:val="000000"/>
          <w:szCs w:val="28"/>
        </w:rPr>
        <w:t>Табунщиковского</w:t>
      </w:r>
      <w:r w:rsidRPr="00833BB0">
        <w:rPr>
          <w:color w:val="000000"/>
          <w:szCs w:val="28"/>
        </w:rPr>
        <w:t xml:space="preserve">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AC5DA7" w:rsidRDefault="00AC5DA7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</w:t>
      </w:r>
      <w:r>
        <w:rPr>
          <w:color w:val="000000"/>
          <w:szCs w:val="28"/>
        </w:rPr>
        <w:t>Табунщиковском</w:t>
      </w:r>
      <w:r w:rsidRPr="00833BB0">
        <w:rPr>
          <w:color w:val="000000"/>
          <w:szCs w:val="28"/>
        </w:rPr>
        <w:t xml:space="preserve"> сельском поселении, определяемое Финансово-экономическим управлением Администрации Красносулинского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фактическое значение </w:t>
      </w:r>
      <w:r w:rsidRPr="00833BB0">
        <w:rPr>
          <w:color w:val="000000"/>
          <w:szCs w:val="28"/>
        </w:rPr>
        <w:t>I степень</w:t>
      </w:r>
      <w:r>
        <w:rPr>
          <w:color w:val="000000"/>
          <w:szCs w:val="28"/>
        </w:rPr>
        <w:t>.</w:t>
      </w:r>
    </w:p>
    <w:p w:rsidR="00AC5DA7" w:rsidRDefault="00AC5DA7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</w:t>
      </w:r>
      <w:r>
        <w:rPr>
          <w:color w:val="000000"/>
          <w:szCs w:val="28"/>
        </w:rPr>
        <w:t>Табунщиковского</w:t>
      </w:r>
      <w:r w:rsidRPr="00833BB0">
        <w:rPr>
          <w:color w:val="000000"/>
          <w:szCs w:val="28"/>
        </w:rPr>
        <w:t xml:space="preserve"> сельского поселения Красносулинского ра</w:t>
      </w:r>
      <w:r>
        <w:rPr>
          <w:color w:val="000000"/>
          <w:szCs w:val="28"/>
        </w:rPr>
        <w:t>йона к уровню предыдущего года», плановое значение – 101,6 процента, фактическое – 95,4 процента.</w:t>
      </w:r>
    </w:p>
    <w:p w:rsidR="00AC5DA7" w:rsidRDefault="00AC5DA7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</w:t>
      </w:r>
      <w:r>
        <w:rPr>
          <w:color w:val="000000"/>
          <w:szCs w:val="28"/>
        </w:rPr>
        <w:t>Табунщиковского</w:t>
      </w:r>
      <w:r w:rsidRPr="00FE4426">
        <w:rPr>
          <w:color w:val="000000"/>
          <w:szCs w:val="28"/>
        </w:rPr>
        <w:t xml:space="preserve"> сельского поселения Красносулинского района</w:t>
      </w:r>
      <w:r>
        <w:rPr>
          <w:color w:val="000000"/>
          <w:szCs w:val="28"/>
        </w:rPr>
        <w:t xml:space="preserve">», плановое значение – </w:t>
      </w:r>
      <w:r>
        <w:rPr>
          <w:bCs/>
          <w:kern w:val="2"/>
        </w:rPr>
        <w:t xml:space="preserve">2 </w:t>
      </w:r>
      <w:r w:rsidRPr="00491CEB">
        <w:rPr>
          <w:bCs/>
          <w:kern w:val="2"/>
        </w:rPr>
        <w:t>435,8</w:t>
      </w:r>
      <w:r>
        <w:rPr>
          <w:color w:val="000000"/>
          <w:szCs w:val="28"/>
        </w:rPr>
        <w:t xml:space="preserve"> тыс. рублей. фактическое значение – </w:t>
      </w:r>
      <w:r>
        <w:t>2 301,6</w:t>
      </w:r>
      <w:r>
        <w:rPr>
          <w:color w:val="000000"/>
          <w:szCs w:val="28"/>
        </w:rPr>
        <w:t xml:space="preserve"> тыс. рублей.</w:t>
      </w:r>
    </w:p>
    <w:p w:rsidR="00AC5DA7" w:rsidRDefault="00AC5DA7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</w:t>
      </w:r>
      <w:r>
        <w:rPr>
          <w:color w:val="000000"/>
          <w:szCs w:val="28"/>
        </w:rPr>
        <w:t>Табунщиковского</w:t>
      </w:r>
      <w:r w:rsidRPr="00FE4426">
        <w:rPr>
          <w:color w:val="000000"/>
          <w:szCs w:val="28"/>
        </w:rPr>
        <w:t xml:space="preserve"> сельского поселения Красносулинского района, формируемых в рамках муниципальных программ </w:t>
      </w:r>
      <w:r>
        <w:rPr>
          <w:color w:val="000000"/>
          <w:szCs w:val="28"/>
        </w:rPr>
        <w:t>Табунщиковского</w:t>
      </w:r>
      <w:r w:rsidRPr="00FE4426">
        <w:rPr>
          <w:color w:val="000000"/>
          <w:szCs w:val="28"/>
        </w:rPr>
        <w:t xml:space="preserve">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 процента, фактическое – 97,2 процента.</w:t>
      </w:r>
    </w:p>
    <w:p w:rsidR="00AC5DA7" w:rsidRDefault="00AC5DA7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</w:t>
      </w:r>
      <w:r>
        <w:rPr>
          <w:color w:val="000000"/>
          <w:szCs w:val="28"/>
        </w:rPr>
        <w:t>Табунщиковского</w:t>
      </w:r>
      <w:r w:rsidRPr="00FE4426">
        <w:rPr>
          <w:color w:val="000000"/>
          <w:szCs w:val="28"/>
        </w:rPr>
        <w:t xml:space="preserve"> сельского поселения Красносулинского района</w:t>
      </w:r>
      <w:r>
        <w:rPr>
          <w:color w:val="000000"/>
          <w:szCs w:val="28"/>
        </w:rPr>
        <w:t>», плановое значение  - 98 процента, фактическое – 97,7 процента.</w:t>
      </w:r>
    </w:p>
    <w:p w:rsidR="00AC5DA7" w:rsidRDefault="00AC5DA7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процента, фактическое значение – 100,0 процента.</w:t>
      </w:r>
    </w:p>
    <w:p w:rsidR="00AC5DA7" w:rsidRDefault="00AC5DA7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</w:t>
      </w:r>
      <w:r>
        <w:rPr>
          <w:color w:val="000000"/>
          <w:szCs w:val="28"/>
        </w:rPr>
        <w:t>Табунщиковского</w:t>
      </w:r>
      <w:r w:rsidRPr="00ED3841">
        <w:rPr>
          <w:color w:val="000000"/>
          <w:szCs w:val="28"/>
        </w:rPr>
        <w:t xml:space="preserve"> сельского поселения к общему годовому объему доходов бюджета </w:t>
      </w:r>
      <w:r>
        <w:rPr>
          <w:color w:val="000000"/>
          <w:szCs w:val="28"/>
        </w:rPr>
        <w:t>Табунщиковского</w:t>
      </w:r>
      <w:r w:rsidRPr="00ED3841">
        <w:rPr>
          <w:color w:val="000000"/>
          <w:szCs w:val="28"/>
        </w:rPr>
        <w:t xml:space="preserve"> сельского поселения Красносулинского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процента, фактическое значение – </w:t>
      </w:r>
      <w:r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процента.</w:t>
      </w:r>
    </w:p>
    <w:p w:rsidR="00AC5DA7" w:rsidRDefault="00AC5DA7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</w:t>
      </w:r>
      <w:r>
        <w:rPr>
          <w:color w:val="000000"/>
          <w:szCs w:val="28"/>
        </w:rPr>
        <w:t>Табунщиковского</w:t>
      </w:r>
      <w:r w:rsidRPr="00CE462E">
        <w:rPr>
          <w:color w:val="000000"/>
          <w:szCs w:val="28"/>
        </w:rPr>
        <w:t xml:space="preserve"> сельского поселения в объеме расходов бюджета </w:t>
      </w:r>
      <w:r>
        <w:rPr>
          <w:color w:val="000000"/>
          <w:szCs w:val="28"/>
        </w:rPr>
        <w:t>Табунщиковского</w:t>
      </w:r>
      <w:r w:rsidRPr="00CE462E">
        <w:rPr>
          <w:color w:val="000000"/>
          <w:szCs w:val="28"/>
        </w:rPr>
        <w:t xml:space="preserve">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>», плановое значение – 0,0процента, фактическое – 0,0 процента.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управления бюджетным процессом за 201</w:t>
      </w:r>
      <w:r>
        <w:rPr>
          <w:color w:val="000000"/>
          <w:szCs w:val="28"/>
        </w:rPr>
        <w:t>9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Красносулинского района присвоена I степень качества управления бюджетным процессом.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AC5DA7" w:rsidRDefault="00AC5DA7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C5DA7" w:rsidRPr="003655C6" w:rsidRDefault="00AC5D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AC5DA7" w:rsidRDefault="00AC5DA7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C5DA7" w:rsidRDefault="00AC5DA7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AC5DA7" w:rsidRPr="00D858C1" w:rsidRDefault="00AC5D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Pr="005979F9">
        <w:rPr>
          <w:rFonts w:eastAsia="SimSun" w:cs="Mangal"/>
          <w:kern w:val="3"/>
          <w:lang w:eastAsia="zh-CN" w:bidi="hi-IN"/>
        </w:rPr>
        <w:t xml:space="preserve">1 равна 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Pr="005979F9">
        <w:rPr>
          <w:rFonts w:eastAsia="SimSun" w:cs="Mangal"/>
          <w:kern w:val="3"/>
          <w:lang w:eastAsia="zh-CN" w:bidi="hi-IN"/>
        </w:rPr>
        <w:t xml:space="preserve">2 равна 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3</w:t>
      </w:r>
      <w:r w:rsidRPr="00634765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0,94</w:t>
      </w:r>
      <w:r w:rsidRPr="00634765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1.1.</w:t>
      </w:r>
      <w:r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0,95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1.2.</w:t>
      </w:r>
      <w:r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0,99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2.1.</w:t>
      </w:r>
      <w:r w:rsidRPr="005979F9">
        <w:rPr>
          <w:rFonts w:eastAsia="SimSun" w:cs="Mangal"/>
          <w:kern w:val="3"/>
          <w:lang w:eastAsia="zh-CN" w:bidi="hi-IN"/>
        </w:rPr>
        <w:t xml:space="preserve"> равна</w:t>
      </w:r>
      <w:r>
        <w:rPr>
          <w:rFonts w:eastAsia="SimSun" w:cs="Mangal"/>
          <w:kern w:val="3"/>
          <w:lang w:eastAsia="zh-CN" w:bidi="hi-IN"/>
        </w:rPr>
        <w:t xml:space="preserve"> 0,</w:t>
      </w:r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99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Pr="00634765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.2.</w:t>
      </w:r>
      <w:r w:rsidRPr="00634765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Pr="00634765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3.1.</w:t>
      </w:r>
      <w:r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;</w:t>
      </w:r>
    </w:p>
    <w:p w:rsidR="00AC5DA7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>
        <w:rPr>
          <w:rFonts w:eastAsia="SimSun" w:cs="Mangal"/>
          <w:kern w:val="3"/>
          <w:lang w:eastAsia="zh-CN" w:bidi="hi-IN"/>
        </w:rPr>
        <w:t>3.2.</w:t>
      </w:r>
      <w:r w:rsidRPr="005979F9">
        <w:rPr>
          <w:rFonts w:eastAsia="SimSun" w:cs="Mangal"/>
          <w:kern w:val="3"/>
          <w:lang w:eastAsia="zh-CN" w:bidi="hi-IN"/>
        </w:rPr>
        <w:t xml:space="preserve"> равна</w:t>
      </w:r>
      <w:r>
        <w:rPr>
          <w:rFonts w:eastAsia="SimSun" w:cs="Mangal"/>
          <w:kern w:val="3"/>
          <w:lang w:eastAsia="zh-CN" w:bidi="hi-IN"/>
        </w:rPr>
        <w:t xml:space="preserve"> 1.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0,78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8,87/9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0,99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достижения целевых показателей в 201</w:t>
      </w:r>
      <w:r>
        <w:rPr>
          <w:rFonts w:eastAsia="SimSun" w:cs="Mangal"/>
          <w:kern w:val="3"/>
          <w:lang w:eastAsia="zh-CN" w:bidi="hi-IN"/>
        </w:rPr>
        <w:t>9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 </w:t>
      </w:r>
      <w:r>
        <w:rPr>
          <w:rFonts w:eastAsia="SimSun" w:cs="Mangal"/>
          <w:kern w:val="3"/>
          <w:lang w:eastAsia="zh-CN" w:bidi="hi-IN"/>
        </w:rPr>
        <w:t>1 (</w:t>
      </w:r>
      <w:r w:rsidRPr="003429D1">
        <w:rPr>
          <w:rFonts w:eastAsia="SimSun" w:cs="Mangal"/>
          <w:b/>
          <w:kern w:val="3"/>
          <w:lang w:eastAsia="zh-CN" w:bidi="hi-IN"/>
        </w:rPr>
        <w:t>СРом</w:t>
      </w:r>
      <w:r>
        <w:rPr>
          <w:rFonts w:eastAsia="SimSun" w:cs="Mangal"/>
          <w:kern w:val="3"/>
          <w:lang w:eastAsia="zh-CN" w:bidi="hi-IN"/>
        </w:rPr>
        <w:t xml:space="preserve"> = 9/9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AC5DA7" w:rsidRPr="00D858C1" w:rsidRDefault="00AC5D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r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0,98 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4454,0 /4571,8= 0,98)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1,02 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1/0,98=1,02)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AC5DA7" w:rsidRDefault="00AC5DA7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>Уровень реализации муниципальной программы в целом составляет 0,</w:t>
      </w:r>
      <w:r>
        <w:rPr>
          <w:rFonts w:eastAsia="SimSun" w:cs="Mangal"/>
          <w:kern w:val="3"/>
          <w:lang w:eastAsia="zh-CN" w:bidi="hi-IN"/>
        </w:rPr>
        <w:t>95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r w:rsidRPr="005C1F85">
        <w:rPr>
          <w:rFonts w:eastAsia="SimSun" w:cs="Mangal"/>
          <w:b/>
          <w:kern w:val="3"/>
          <w:lang w:eastAsia="zh-CN" w:bidi="hi-IN"/>
        </w:rPr>
        <w:t>УРпр</w:t>
      </w:r>
      <w:r w:rsidRPr="005C1F85">
        <w:rPr>
          <w:rFonts w:eastAsia="SimSun" w:cs="Mangal"/>
          <w:kern w:val="3"/>
          <w:lang w:eastAsia="zh-CN" w:bidi="hi-IN"/>
        </w:rPr>
        <w:t xml:space="preserve"> = 0,</w:t>
      </w:r>
      <w:r>
        <w:rPr>
          <w:rFonts w:eastAsia="SimSun" w:cs="Mangal"/>
          <w:kern w:val="3"/>
          <w:lang w:eastAsia="zh-CN" w:bidi="hi-IN"/>
        </w:rPr>
        <w:t>99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>
        <w:rPr>
          <w:rFonts w:eastAsia="SimSun" w:cs="Mangal"/>
          <w:kern w:val="3"/>
          <w:lang w:eastAsia="zh-CN" w:bidi="hi-IN"/>
        </w:rPr>
        <w:t>2</w:t>
      </w:r>
      <w:r w:rsidRPr="005C1F85">
        <w:rPr>
          <w:rFonts w:eastAsia="SimSun" w:cs="Mangal"/>
          <w:kern w:val="3"/>
          <w:lang w:eastAsia="zh-CN" w:bidi="hi-IN"/>
        </w:rPr>
        <w:t>*0,2=0,</w:t>
      </w:r>
      <w:r>
        <w:rPr>
          <w:rFonts w:eastAsia="SimSun" w:cs="Mangal"/>
          <w:kern w:val="3"/>
          <w:lang w:eastAsia="zh-CN" w:bidi="hi-IN"/>
        </w:rPr>
        <w:t>995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>
        <w:rPr>
          <w:rFonts w:eastAsia="SimSun" w:cs="Mangal"/>
          <w:kern w:val="3"/>
          <w:lang w:eastAsia="zh-CN" w:bidi="hi-IN"/>
        </w:rPr>
        <w:t>9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>
        <w:rPr>
          <w:rFonts w:eastAsia="SimSun" w:cs="Mangal"/>
          <w:kern w:val="3"/>
          <w:lang w:eastAsia="zh-CN" w:bidi="hi-IN"/>
        </w:rPr>
        <w:t>высоким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AC5DA7" w:rsidRPr="005979F9" w:rsidRDefault="00AC5D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AC5DA7" w:rsidRDefault="00AC5DA7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AC5DA7" w:rsidRPr="00280A7C" w:rsidRDefault="00AC5DA7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Табунщиковского сельского поселения</w:t>
      </w:r>
      <w:r w:rsidRPr="00280A7C">
        <w:rPr>
          <w:szCs w:val="28"/>
        </w:rPr>
        <w:t>.</w:t>
      </w:r>
    </w:p>
    <w:p w:rsidR="00AC5DA7" w:rsidRDefault="00AC5DA7" w:rsidP="005B1DEA">
      <w:pPr>
        <w:jc w:val="center"/>
        <w:rPr>
          <w:b/>
          <w:color w:val="000000"/>
          <w:kern w:val="2"/>
        </w:rPr>
      </w:pPr>
    </w:p>
    <w:p w:rsidR="00AC5DA7" w:rsidRDefault="00AC5DA7" w:rsidP="00A6713D">
      <w:pPr>
        <w:ind w:firstLine="567"/>
        <w:jc w:val="both"/>
        <w:rPr>
          <w:color w:val="000000"/>
          <w:kern w:val="2"/>
        </w:rPr>
        <w:sectPr w:rsidR="00AC5DA7" w:rsidSect="00110F43">
          <w:footerReference w:type="default" r:id="rId8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AC5DA7" w:rsidRPr="005804A1" w:rsidRDefault="00AC5DA7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Приложение № 1</w:t>
      </w:r>
    </w:p>
    <w:p w:rsidR="00AC5DA7" w:rsidRPr="005804A1" w:rsidRDefault="00AC5DA7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«Управление муниципальными финансами» за 201</w:t>
      </w:r>
      <w:r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AC5DA7" w:rsidRPr="00110F43" w:rsidRDefault="00AC5DA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C5DA7" w:rsidRDefault="00AC5DA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C5DA7" w:rsidRPr="0066607B" w:rsidRDefault="00AC5DA7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«Управление муниципальными финансами» за 201</w:t>
      </w:r>
      <w:r>
        <w:rPr>
          <w:b/>
        </w:rPr>
        <w:t>9</w:t>
      </w:r>
      <w:r w:rsidRPr="00110F43">
        <w:rPr>
          <w:b/>
        </w:rPr>
        <w:t xml:space="preserve"> год</w:t>
      </w:r>
    </w:p>
    <w:p w:rsidR="00AC5DA7" w:rsidRPr="0066607B" w:rsidRDefault="00AC5DA7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AC5DA7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AC5DA7" w:rsidRPr="00874A3F" w:rsidRDefault="00AC5DA7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AC5DA7" w:rsidRPr="0066607B" w:rsidTr="00AA1BEC">
        <w:tc>
          <w:tcPr>
            <w:tcW w:w="568" w:type="dxa"/>
            <w:vMerge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C5DA7" w:rsidRPr="0066607B" w:rsidTr="00AA1BEC">
        <w:tc>
          <w:tcPr>
            <w:tcW w:w="568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AC5DA7" w:rsidRPr="00874A3F" w:rsidRDefault="00AC5DA7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AC5DA7" w:rsidRPr="0066607B" w:rsidTr="004878B7">
        <w:tc>
          <w:tcPr>
            <w:tcW w:w="568" w:type="dxa"/>
          </w:tcPr>
          <w:p w:rsidR="00AC5DA7" w:rsidRPr="006D4057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AC5DA7" w:rsidRPr="006D4057" w:rsidRDefault="00AC5DA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AC5DA7" w:rsidRPr="006D4057" w:rsidRDefault="00AC5DA7" w:rsidP="007B60C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6D4057" w:rsidRDefault="00AC5DA7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C5DA7" w:rsidRPr="006D4057" w:rsidRDefault="00AC5DA7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C5DA7" w:rsidRPr="006D4057" w:rsidRDefault="00AC5DA7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C5DA7" w:rsidRPr="006D4057" w:rsidRDefault="00AC5DA7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AC5DA7" w:rsidRPr="006D4057" w:rsidRDefault="00AC5DA7" w:rsidP="008E1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C5DA7" w:rsidRPr="00491CCA" w:rsidRDefault="00AC5DA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C5DA7" w:rsidRPr="0066607B" w:rsidTr="004878B7">
        <w:tc>
          <w:tcPr>
            <w:tcW w:w="568" w:type="dxa"/>
          </w:tcPr>
          <w:p w:rsidR="00AC5DA7" w:rsidRPr="00491CCA" w:rsidRDefault="00AC5DA7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AC5DA7" w:rsidRPr="00102D3D" w:rsidRDefault="00AC5DA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84" w:type="dxa"/>
          </w:tcPr>
          <w:p w:rsidR="00AC5DA7" w:rsidRPr="00491CCA" w:rsidRDefault="00AC5DA7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8E150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8E150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8E150F" w:rsidRDefault="00AC5DA7" w:rsidP="008E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AC5DA7" w:rsidRPr="00491CCA" w:rsidRDefault="00AC5DA7" w:rsidP="008E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AC5DA7" w:rsidRPr="009D7577" w:rsidRDefault="00AC5DA7" w:rsidP="009D7577">
            <w:pPr>
              <w:pStyle w:val="BodyTextIndent"/>
              <w:ind w:firstLine="0"/>
              <w:rPr>
                <w:b w:val="0"/>
                <w:sz w:val="22"/>
                <w:szCs w:val="22"/>
              </w:rPr>
            </w:pPr>
            <w:r w:rsidRPr="009D7577">
              <w:rPr>
                <w:b w:val="0"/>
                <w:sz w:val="22"/>
                <w:szCs w:val="22"/>
              </w:rPr>
              <w:t>по итогам 2019 года налоговые и неналоговые доходы бюджета поселения исполнены в объеме 2301,6 тыс. рублей или 95,4 процента к бюджетным назначениям, с уменьшением  на  205,5 тыс. рублей или на 8,2 процента по отношению к уровню 2018 года. Это обусловлено уменьшением налогооблагаемой базы по налогу на имущество физических лиц(собственниками не оформлены документы на имущество по дополнительным строениям), неплатежеспособность населения</w:t>
            </w:r>
          </w:p>
          <w:p w:rsidR="00AC5DA7" w:rsidRPr="00875EE1" w:rsidRDefault="00AC5DA7" w:rsidP="001F74F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Р</w:t>
            </w:r>
            <w:r w:rsidRPr="00875EE1">
              <w:rPr>
                <w:sz w:val="21"/>
                <w:szCs w:val="21"/>
              </w:rPr>
              <w:t xml:space="preserve">абочей группой по вопросам собираемости налогов и других обязательных платежей Администрации поселения проведены  </w:t>
            </w:r>
            <w:r>
              <w:rPr>
                <w:sz w:val="21"/>
                <w:szCs w:val="21"/>
              </w:rPr>
              <w:t>12</w:t>
            </w:r>
            <w:r w:rsidRPr="00875EE1">
              <w:rPr>
                <w:sz w:val="21"/>
                <w:szCs w:val="21"/>
              </w:rPr>
              <w:t xml:space="preserve"> заседания, в результате недоимщиками погашена задолженность в сумме </w:t>
            </w:r>
            <w:r>
              <w:rPr>
                <w:sz w:val="21"/>
                <w:szCs w:val="21"/>
              </w:rPr>
              <w:t>201,0</w:t>
            </w:r>
            <w:r w:rsidRPr="00875EE1">
              <w:rPr>
                <w:sz w:val="21"/>
                <w:szCs w:val="21"/>
              </w:rPr>
              <w:t xml:space="preserve"> тыс. рублей, в том числе в бюджет поселения поступило </w:t>
            </w:r>
            <w:r>
              <w:rPr>
                <w:sz w:val="21"/>
                <w:szCs w:val="21"/>
              </w:rPr>
              <w:t>120,0</w:t>
            </w:r>
            <w:r w:rsidRPr="00875EE1">
              <w:rPr>
                <w:sz w:val="21"/>
                <w:szCs w:val="21"/>
              </w:rPr>
              <w:t xml:space="preserve"> тыс.</w:t>
            </w:r>
            <w:r>
              <w:rPr>
                <w:sz w:val="21"/>
                <w:szCs w:val="21"/>
              </w:rPr>
              <w:t xml:space="preserve"> рублей.</w:t>
            </w:r>
            <w:r w:rsidRPr="00875EE1">
              <w:rPr>
                <w:sz w:val="21"/>
                <w:szCs w:val="21"/>
              </w:rPr>
              <w:t xml:space="preserve"> Недоимка в консолидированный бюджет Ростовской о</w:t>
            </w:r>
            <w:r>
              <w:rPr>
                <w:sz w:val="21"/>
                <w:szCs w:val="21"/>
              </w:rPr>
              <w:t>бласти по состоянию на 01.01.2020 составила 396,9</w:t>
            </w:r>
            <w:r w:rsidRPr="00875EE1">
              <w:rPr>
                <w:sz w:val="21"/>
                <w:szCs w:val="21"/>
              </w:rPr>
              <w:t xml:space="preserve"> тыс. рублей. </w:t>
            </w:r>
          </w:p>
        </w:tc>
        <w:tc>
          <w:tcPr>
            <w:tcW w:w="1842" w:type="dxa"/>
          </w:tcPr>
          <w:p w:rsidR="00AC5DA7" w:rsidRPr="00875EE1" w:rsidRDefault="00AC5DA7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66607B" w:rsidTr="004878B7">
        <w:tc>
          <w:tcPr>
            <w:tcW w:w="568" w:type="dxa"/>
          </w:tcPr>
          <w:p w:rsidR="00AC5DA7" w:rsidRPr="00491CCA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4" w:type="dxa"/>
          </w:tcPr>
          <w:p w:rsidR="00AC5DA7" w:rsidRPr="00491CCA" w:rsidRDefault="00AC5DA7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7247E8" w:rsidRDefault="00AC5DA7" w:rsidP="00724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</w:p>
          <w:p w:rsidR="00AC5DA7" w:rsidRPr="007247E8" w:rsidRDefault="00AC5DA7" w:rsidP="00724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AC5DA7" w:rsidRPr="00491CCA" w:rsidRDefault="00AC5DA7" w:rsidP="00724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>
              <w:rPr>
                <w:sz w:val="21"/>
                <w:szCs w:val="21"/>
              </w:rPr>
              <w:t>8</w:t>
            </w:r>
            <w:r w:rsidRPr="00491CCA">
              <w:rPr>
                <w:sz w:val="21"/>
                <w:szCs w:val="21"/>
              </w:rPr>
              <w:t xml:space="preserve"> муниципальных программ </w:t>
            </w:r>
            <w:r>
              <w:rPr>
                <w:sz w:val="21"/>
                <w:szCs w:val="21"/>
              </w:rPr>
              <w:t>Табунщиковского</w:t>
            </w:r>
            <w:r w:rsidRPr="00491CCA">
              <w:rPr>
                <w:sz w:val="21"/>
                <w:szCs w:val="21"/>
              </w:rPr>
              <w:t xml:space="preserve"> сельского поселения. На реализацию принятых муниципальн</w:t>
            </w:r>
            <w:r>
              <w:rPr>
                <w:sz w:val="21"/>
                <w:szCs w:val="21"/>
              </w:rPr>
              <w:t>ых программ 2019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>направлено 9373,7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>
              <w:rPr>
                <w:sz w:val="21"/>
                <w:szCs w:val="21"/>
              </w:rPr>
              <w:t>97,2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процента 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  <w:r w:rsidRPr="00491CCA">
              <w:rPr>
                <w:sz w:val="21"/>
                <w:szCs w:val="21"/>
              </w:rPr>
              <w:t>.</w:t>
            </w:r>
          </w:p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AC5DA7" w:rsidRPr="00491CCA" w:rsidRDefault="00AC5DA7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66607B" w:rsidTr="004878B7">
        <w:tc>
          <w:tcPr>
            <w:tcW w:w="568" w:type="dxa"/>
          </w:tcPr>
          <w:p w:rsidR="00AC5DA7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AC5DA7" w:rsidRPr="00F24ADB" w:rsidRDefault="00AC5DA7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AC5DA7" w:rsidRPr="00491CCA" w:rsidRDefault="00AC5DA7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>
              <w:rPr>
                <w:sz w:val="21"/>
                <w:szCs w:val="21"/>
              </w:rPr>
              <w:t>Табунщиковского</w:t>
            </w:r>
            <w:r w:rsidRPr="00102D3D">
              <w:rPr>
                <w:sz w:val="21"/>
                <w:szCs w:val="21"/>
              </w:rPr>
              <w:t xml:space="preserve"> сельского 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февраля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C5DA7" w:rsidRPr="00102D3D" w:rsidRDefault="00AC5DA7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26 февраля</w:t>
            </w:r>
          </w:p>
          <w:p w:rsidR="00AC5DA7" w:rsidRPr="00110F43" w:rsidRDefault="00AC5DA7" w:rsidP="00102D3D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6D4057" w:rsidRDefault="00AC5DA7" w:rsidP="00C479A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принятие постановления </w:t>
            </w:r>
            <w:r>
              <w:rPr>
                <w:sz w:val="21"/>
                <w:szCs w:val="21"/>
              </w:rPr>
              <w:t>Администрации Табунщиковского сельского поселения</w:t>
            </w:r>
            <w:r w:rsidRPr="006D40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 внесении изменений в бюджетный прогноз</w:t>
            </w:r>
            <w:r w:rsidRPr="006D40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Табунщиковского сельского поселения</w:t>
            </w:r>
            <w:r w:rsidRPr="006D4057">
              <w:rPr>
                <w:sz w:val="21"/>
                <w:szCs w:val="21"/>
              </w:rPr>
              <w:t xml:space="preserve"> на период 2017 – 202</w:t>
            </w:r>
            <w:r>
              <w:rPr>
                <w:sz w:val="21"/>
                <w:szCs w:val="21"/>
              </w:rPr>
              <w:t>2</w:t>
            </w:r>
            <w:r w:rsidRPr="006D4057">
              <w:rPr>
                <w:sz w:val="21"/>
                <w:szCs w:val="21"/>
              </w:rPr>
              <w:t xml:space="preserve">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AC5DA7" w:rsidRPr="006D4057" w:rsidRDefault="00AC5DA7" w:rsidP="007875A2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6D4057">
              <w:rPr>
                <w:kern w:val="2"/>
                <w:sz w:val="21"/>
                <w:szCs w:val="21"/>
              </w:rPr>
              <w:t xml:space="preserve">принято постановление Администрации </w:t>
            </w:r>
            <w:r>
              <w:rPr>
                <w:kern w:val="2"/>
                <w:sz w:val="21"/>
                <w:szCs w:val="21"/>
              </w:rPr>
              <w:t>Табунщиковского</w:t>
            </w:r>
            <w:r w:rsidRPr="006D4057">
              <w:rPr>
                <w:kern w:val="2"/>
                <w:sz w:val="21"/>
                <w:szCs w:val="21"/>
              </w:rPr>
              <w:t xml:space="preserve"> сельского поселения </w:t>
            </w:r>
            <w:r w:rsidRPr="00102D3D">
              <w:rPr>
                <w:kern w:val="2"/>
                <w:sz w:val="21"/>
                <w:szCs w:val="21"/>
              </w:rPr>
              <w:t>от 26.02.2019 № 14</w:t>
            </w:r>
            <w:r w:rsidRPr="006D4057"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«О</w:t>
            </w:r>
            <w:r w:rsidRPr="006D4057">
              <w:rPr>
                <w:kern w:val="2"/>
                <w:sz w:val="21"/>
                <w:szCs w:val="21"/>
              </w:rPr>
              <w:t xml:space="preserve"> внесении изменений в бюджетный прогноз </w:t>
            </w:r>
            <w:r>
              <w:rPr>
                <w:kern w:val="2"/>
                <w:sz w:val="21"/>
                <w:szCs w:val="21"/>
              </w:rPr>
              <w:t>Табунщиковского</w:t>
            </w:r>
            <w:r w:rsidRPr="006D4057">
              <w:rPr>
                <w:kern w:val="2"/>
                <w:sz w:val="21"/>
                <w:szCs w:val="21"/>
              </w:rPr>
              <w:t xml:space="preserve"> сельского поселе</w:t>
            </w:r>
            <w:r>
              <w:rPr>
                <w:kern w:val="2"/>
                <w:sz w:val="21"/>
                <w:szCs w:val="21"/>
              </w:rPr>
              <w:t>ния на период 2017 – 2022 годов»</w:t>
            </w:r>
          </w:p>
          <w:p w:rsidR="00AC5DA7" w:rsidRPr="006D4057" w:rsidRDefault="00AC5DA7" w:rsidP="007875A2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694" w:type="dxa"/>
          </w:tcPr>
          <w:p w:rsidR="00AC5DA7" w:rsidRPr="00491CCA" w:rsidRDefault="00AC5DA7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C5DA7" w:rsidRPr="00491CCA" w:rsidRDefault="00AC5DA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C5DA7" w:rsidRPr="00110F43" w:rsidRDefault="00AC5DA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C5DA7" w:rsidRPr="00491CCA" w:rsidRDefault="00AC5DA7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C5DA7" w:rsidRPr="00491CCA" w:rsidRDefault="00AC5DA7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42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C5DA7" w:rsidRPr="00491CCA" w:rsidRDefault="00AC5DA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C32C59" w:rsidRDefault="00AC5DA7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 xml:space="preserve">подготовка проектов решений Собрания депутатов </w:t>
            </w:r>
            <w:r>
              <w:rPr>
                <w:bCs/>
                <w:sz w:val="21"/>
                <w:szCs w:val="21"/>
              </w:rPr>
              <w:t>Табунщиковского</w:t>
            </w:r>
            <w:r w:rsidRPr="00A35D23">
              <w:rPr>
                <w:bCs/>
                <w:sz w:val="21"/>
                <w:szCs w:val="21"/>
              </w:rPr>
              <w:t xml:space="preserve"> сельского поселения, нормативных правовых актов Администрации </w:t>
            </w:r>
            <w:r>
              <w:rPr>
                <w:bCs/>
                <w:sz w:val="21"/>
                <w:szCs w:val="21"/>
              </w:rPr>
              <w:t>Табунщиковского</w:t>
            </w:r>
            <w:r w:rsidRPr="00A35D23">
              <w:rPr>
                <w:bCs/>
                <w:sz w:val="21"/>
                <w:szCs w:val="21"/>
              </w:rPr>
              <w:t xml:space="preserve">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AC5DA7" w:rsidRPr="00C32C59" w:rsidRDefault="00AC5DA7" w:rsidP="00C12CC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C32C59">
              <w:rPr>
                <w:kern w:val="2"/>
                <w:sz w:val="21"/>
                <w:szCs w:val="21"/>
              </w:rPr>
              <w:t>в целях совершенствования бюджетного процесса по итогам 201</w:t>
            </w:r>
            <w:r>
              <w:rPr>
                <w:kern w:val="2"/>
                <w:sz w:val="21"/>
                <w:szCs w:val="21"/>
              </w:rPr>
              <w:t>9</w:t>
            </w:r>
            <w:r w:rsidRPr="00C32C59">
              <w:rPr>
                <w:kern w:val="2"/>
                <w:sz w:val="21"/>
                <w:szCs w:val="21"/>
              </w:rPr>
              <w:t xml:space="preserve"> года приняты </w:t>
            </w:r>
            <w:r>
              <w:rPr>
                <w:kern w:val="2"/>
                <w:sz w:val="21"/>
                <w:szCs w:val="21"/>
              </w:rPr>
              <w:t>решения Собрания депутатов Табунщиковского сельского поселения</w:t>
            </w:r>
            <w:r w:rsidRPr="00C32C59"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 xml:space="preserve">от 18.11.2019 №35 </w:t>
            </w:r>
            <w:r>
              <w:t>«</w:t>
            </w:r>
            <w:r w:rsidRPr="005A4010">
              <w:rPr>
                <w:kern w:val="2"/>
                <w:sz w:val="21"/>
                <w:szCs w:val="21"/>
              </w:rPr>
              <w:t xml:space="preserve">О внесении изменений в решение Собрания депутатов </w:t>
            </w:r>
            <w:r>
              <w:rPr>
                <w:kern w:val="2"/>
                <w:sz w:val="21"/>
                <w:szCs w:val="21"/>
              </w:rPr>
              <w:t>Табунщиковского</w:t>
            </w:r>
            <w:r w:rsidRPr="005A4010">
              <w:rPr>
                <w:kern w:val="2"/>
                <w:sz w:val="21"/>
                <w:szCs w:val="21"/>
              </w:rPr>
              <w:t xml:space="preserve"> сельского поселения от </w:t>
            </w:r>
            <w:r>
              <w:rPr>
                <w:kern w:val="2"/>
                <w:sz w:val="21"/>
                <w:szCs w:val="21"/>
              </w:rPr>
              <w:t>07</w:t>
            </w:r>
            <w:r w:rsidRPr="005A4010">
              <w:rPr>
                <w:kern w:val="2"/>
                <w:sz w:val="21"/>
                <w:szCs w:val="21"/>
              </w:rPr>
              <w:t>.08.2007 №1</w:t>
            </w:r>
            <w:r>
              <w:rPr>
                <w:kern w:val="2"/>
                <w:sz w:val="21"/>
                <w:szCs w:val="21"/>
              </w:rPr>
              <w:t>4</w:t>
            </w:r>
            <w:r w:rsidRPr="005A4010">
              <w:rPr>
                <w:kern w:val="2"/>
                <w:sz w:val="21"/>
                <w:szCs w:val="21"/>
              </w:rPr>
              <w:t xml:space="preserve"> «Об утверждении Положения о бюджетном процессе в муниципальном образовании «</w:t>
            </w:r>
            <w:r>
              <w:rPr>
                <w:kern w:val="2"/>
                <w:sz w:val="21"/>
                <w:szCs w:val="21"/>
              </w:rPr>
              <w:t>Табунщиковское</w:t>
            </w:r>
            <w:r w:rsidRPr="005A4010">
              <w:rPr>
                <w:kern w:val="2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1842" w:type="dxa"/>
          </w:tcPr>
          <w:p w:rsidR="00AC5DA7" w:rsidRDefault="00AC5DA7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94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C12CCC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AC5DA7" w:rsidRPr="00491CCA" w:rsidRDefault="00AC5DA7" w:rsidP="00C12C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в рамках подпрограммы производилось в соответствии с утвержденной бюджетной сметой на 201</w:t>
            </w:r>
            <w:r>
              <w:rPr>
                <w:color w:val="000000"/>
                <w:sz w:val="21"/>
                <w:szCs w:val="21"/>
                <w:lang w:eastAsia="en-US"/>
              </w:rPr>
              <w:t>9</w:t>
            </w: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 – графика закупок на 201</w:t>
            </w:r>
            <w:r>
              <w:rPr>
                <w:color w:val="000000"/>
                <w:sz w:val="21"/>
                <w:szCs w:val="21"/>
                <w:lang w:eastAsia="en-US"/>
              </w:rPr>
              <w:t>9</w:t>
            </w:r>
            <w:r w:rsidRPr="00C12CCC">
              <w:rPr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AC5DA7" w:rsidRPr="00491CCA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color w:val="000000"/>
                <w:sz w:val="21"/>
                <w:szCs w:val="21"/>
                <w:lang w:eastAsia="en-US"/>
              </w:rPr>
              <w:t>Администрации Табунщиковского сельского поселения от 07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№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38 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«Об утверждении Порядка и сроков составления проекта бюджета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Красносулинского района на 2019 год и на плановый период 2020 и 2021 годов»; 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30.10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№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73 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«Об основных направлениях  бюджетной и налоговой политики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сельского  поселения на 2019 – 2021 годы»; 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30.10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№ </w:t>
            </w:r>
            <w:r>
              <w:rPr>
                <w:color w:val="000000"/>
                <w:sz w:val="21"/>
                <w:szCs w:val="21"/>
                <w:lang w:eastAsia="en-US"/>
              </w:rPr>
              <w:t>74</w:t>
            </w:r>
          </w:p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>«</w:t>
            </w:r>
            <w:r w:rsidRPr="002E627C">
              <w:rPr>
                <w:color w:val="000000"/>
                <w:sz w:val="21"/>
                <w:szCs w:val="21"/>
                <w:lang w:eastAsia="en-US"/>
              </w:rPr>
              <w:t xml:space="preserve">Об основных направлениях долговой политики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2E627C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на 2019 год и на плановый период 2020 и 2021 годов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»;</w:t>
            </w:r>
          </w:p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02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color w:val="000000"/>
                <w:sz w:val="21"/>
                <w:szCs w:val="21"/>
                <w:lang w:eastAsia="en-US"/>
              </w:rPr>
              <w:t>2.2018 № 10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 xml:space="preserve">О мерах по обеспечению исполнения бюджета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>от 3</w:t>
            </w:r>
            <w:r>
              <w:rPr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.2016 № </w:t>
            </w:r>
            <w:r>
              <w:rPr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 xml:space="preserve">О методике и порядке планирования бюджетных ассигнований бюджета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Красносулинского района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color w:val="000000"/>
                <w:sz w:val="21"/>
                <w:szCs w:val="21"/>
                <w:lang w:eastAsia="en-US"/>
              </w:rPr>
              <w:t>от 2</w:t>
            </w:r>
            <w:r>
              <w:rPr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№ </w:t>
            </w:r>
            <w:r>
              <w:rPr>
                <w:color w:val="000000"/>
                <w:sz w:val="21"/>
                <w:szCs w:val="21"/>
                <w:lang w:eastAsia="en-US"/>
              </w:rPr>
              <w:t>120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»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:rsidR="00AC5DA7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Pr="00491CCA" w:rsidRDefault="00AC5DA7" w:rsidP="009411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31.03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7 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№ </w:t>
            </w:r>
            <w:r>
              <w:rPr>
                <w:color w:val="000000"/>
                <w:sz w:val="21"/>
                <w:szCs w:val="21"/>
                <w:lang w:eastAsia="en-US"/>
              </w:rPr>
              <w:t>42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4113E">
              <w:rPr>
                <w:color w:val="000000"/>
                <w:sz w:val="21"/>
                <w:szCs w:val="21"/>
                <w:lang w:eastAsia="en-US"/>
              </w:rPr>
              <w:t>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</w:t>
            </w:r>
            <w:r w:rsidRPr="00A06621">
              <w:rPr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842" w:type="dxa"/>
          </w:tcPr>
          <w:p w:rsidR="00AC5DA7" w:rsidRPr="00476B03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694" w:type="dxa"/>
          </w:tcPr>
          <w:p w:rsidR="00AC5DA7" w:rsidRPr="00A274E2" w:rsidRDefault="00AC5DA7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C5DA7" w:rsidRPr="00A274E2" w:rsidRDefault="00AC5DA7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C5DA7" w:rsidRPr="00491CCA" w:rsidRDefault="00AC5DA7" w:rsidP="00A274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</w:t>
            </w:r>
            <w:r>
              <w:rPr>
                <w:color w:val="000000"/>
                <w:sz w:val="21"/>
                <w:szCs w:val="21"/>
              </w:rPr>
              <w:t>Табунщиковского</w:t>
            </w:r>
            <w:r w:rsidRPr="00A274E2">
              <w:rPr>
                <w:color w:val="000000"/>
                <w:sz w:val="21"/>
                <w:szCs w:val="21"/>
              </w:rPr>
              <w:t xml:space="preserve"> сельского поселения Красносулинского района»</w:t>
            </w:r>
          </w:p>
        </w:tc>
        <w:tc>
          <w:tcPr>
            <w:tcW w:w="1984" w:type="dxa"/>
          </w:tcPr>
          <w:p w:rsidR="00AC5DA7" w:rsidRPr="00491CCA" w:rsidRDefault="00AC5DA7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июля 2019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июля 2019 г</w:t>
            </w:r>
          </w:p>
        </w:tc>
        <w:tc>
          <w:tcPr>
            <w:tcW w:w="992" w:type="dxa"/>
          </w:tcPr>
          <w:p w:rsidR="00AC5DA7" w:rsidRPr="00110F43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8 июля 2019 г.</w:t>
            </w:r>
          </w:p>
        </w:tc>
        <w:tc>
          <w:tcPr>
            <w:tcW w:w="2410" w:type="dxa"/>
          </w:tcPr>
          <w:p w:rsidR="00AC5DA7" w:rsidRPr="00A274E2" w:rsidRDefault="00AC5DA7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C5DA7" w:rsidRPr="00A274E2" w:rsidRDefault="00AC5DA7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C5DA7" w:rsidRPr="00A06621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C5DA7" w:rsidRPr="00A06621" w:rsidRDefault="00AC5DA7" w:rsidP="00A06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В соответствии с Постановлением Администрации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от 2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>.12.2017 №</w:t>
            </w:r>
            <w:r>
              <w:rPr>
                <w:color w:val="000000"/>
                <w:sz w:val="21"/>
                <w:szCs w:val="21"/>
                <w:lang w:eastAsia="en-US"/>
              </w:rPr>
              <w:t>127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«Об утверждении Порядка осуществления Администрацией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полномочий по внутреннему муниципальному финансовому контролю» и на основании распоряжения Администрации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от 28.12.2018 №</w:t>
            </w:r>
            <w:r>
              <w:rPr>
                <w:color w:val="000000"/>
                <w:sz w:val="21"/>
                <w:szCs w:val="21"/>
                <w:lang w:eastAsia="en-US"/>
              </w:rPr>
              <w:t>28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«Об утверждении Плана проведения мероприятий по внутреннему муниципальному финансовому контролю на 2019 год»   проведена плановая проверка финансово-хозяйственной деятельности и целевого использования средств субсидий, выделенных на выполнение муниципального задания,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 «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Табунщиковский</w:t>
            </w:r>
            <w:r w:rsidRPr="00A274E2">
              <w:rPr>
                <w:color w:val="000000"/>
                <w:sz w:val="21"/>
                <w:szCs w:val="21"/>
                <w:lang w:eastAsia="en-US"/>
              </w:rPr>
              <w:t xml:space="preserve"> сельский Дом культуры»</w:t>
            </w:r>
          </w:p>
        </w:tc>
        <w:tc>
          <w:tcPr>
            <w:tcW w:w="1842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AC5DA7" w:rsidRPr="0066607B" w:rsidTr="00FC3667">
        <w:tc>
          <w:tcPr>
            <w:tcW w:w="568" w:type="dxa"/>
          </w:tcPr>
          <w:p w:rsidR="00AC5DA7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694" w:type="dxa"/>
          </w:tcPr>
          <w:p w:rsidR="00AC5DA7" w:rsidRPr="00F24ADB" w:rsidRDefault="00AC5DA7" w:rsidP="00DE0727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Табунщиковского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Табунщиковского сельского поселения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2414BD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 2019 г.</w:t>
            </w:r>
          </w:p>
        </w:tc>
        <w:tc>
          <w:tcPr>
            <w:tcW w:w="1134" w:type="dxa"/>
          </w:tcPr>
          <w:p w:rsidR="00AC5DA7" w:rsidRPr="00491CCA" w:rsidRDefault="00AC5DA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C5DA7" w:rsidRPr="00110F43" w:rsidRDefault="00AC5DA7" w:rsidP="002414B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2414B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14BD">
              <w:rPr>
                <w:sz w:val="21"/>
                <w:szCs w:val="21"/>
              </w:rPr>
              <w:t xml:space="preserve"> ноября 2019 г.</w:t>
            </w:r>
          </w:p>
        </w:tc>
        <w:tc>
          <w:tcPr>
            <w:tcW w:w="2410" w:type="dxa"/>
          </w:tcPr>
          <w:p w:rsidR="00AC5DA7" w:rsidRDefault="00AC5DA7" w:rsidP="008C38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color w:val="000000"/>
                <w:sz w:val="21"/>
                <w:szCs w:val="21"/>
                <w:lang w:eastAsia="en-US"/>
              </w:rPr>
              <w:t xml:space="preserve">своевременное представление проекта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решения Собрания депутатов Табунщиковского сельского поселения </w:t>
            </w:r>
            <w:r w:rsidRPr="008C38C4">
              <w:rPr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color w:val="000000"/>
                <w:sz w:val="21"/>
                <w:szCs w:val="21"/>
                <w:lang w:eastAsia="en-US"/>
              </w:rPr>
              <w:t>Собрание депутатов Табунщиковского сельского поселения</w:t>
            </w:r>
          </w:p>
        </w:tc>
        <w:tc>
          <w:tcPr>
            <w:tcW w:w="2835" w:type="dxa"/>
          </w:tcPr>
          <w:p w:rsidR="00AC5DA7" w:rsidRPr="008C38C4" w:rsidRDefault="00AC5DA7" w:rsidP="008C38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 xml:space="preserve">проект решения Собрания депутатов </w:t>
            </w:r>
            <w:r>
              <w:rPr>
                <w:sz w:val="21"/>
                <w:szCs w:val="21"/>
              </w:rPr>
              <w:t>Табунщиковского</w:t>
            </w:r>
            <w:r w:rsidRPr="008C38C4">
              <w:rPr>
                <w:sz w:val="21"/>
                <w:szCs w:val="21"/>
              </w:rPr>
              <w:t xml:space="preserve"> сельского поселения  «</w:t>
            </w:r>
            <w:r w:rsidRPr="00E44A21">
              <w:rPr>
                <w:sz w:val="21"/>
                <w:szCs w:val="21"/>
              </w:rPr>
              <w:t xml:space="preserve">О бюджете </w:t>
            </w:r>
            <w:r>
              <w:rPr>
                <w:sz w:val="21"/>
                <w:szCs w:val="21"/>
              </w:rPr>
              <w:t>Табунщиковского</w:t>
            </w:r>
            <w:r w:rsidRPr="00E44A21">
              <w:rPr>
                <w:sz w:val="21"/>
                <w:szCs w:val="21"/>
              </w:rPr>
              <w:t xml:space="preserve"> сельского поселения</w:t>
            </w:r>
            <w:r>
              <w:rPr>
                <w:sz w:val="21"/>
                <w:szCs w:val="21"/>
              </w:rPr>
              <w:t xml:space="preserve"> Красносулинского района на 2020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и 202</w:t>
            </w:r>
            <w:r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Табунщиковского сельского поселения </w:t>
            </w:r>
            <w:r w:rsidRPr="00F2007F">
              <w:rPr>
                <w:sz w:val="21"/>
                <w:szCs w:val="21"/>
              </w:rPr>
              <w:t xml:space="preserve">от </w:t>
            </w:r>
            <w:r>
              <w:rPr>
                <w:sz w:val="21"/>
                <w:szCs w:val="21"/>
              </w:rPr>
              <w:t>07</w:t>
            </w:r>
            <w:r w:rsidRPr="00F2007F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F2007F">
              <w:rPr>
                <w:sz w:val="21"/>
                <w:szCs w:val="21"/>
              </w:rPr>
              <w:t xml:space="preserve">.2018 № </w:t>
            </w:r>
            <w:r>
              <w:rPr>
                <w:sz w:val="21"/>
                <w:szCs w:val="21"/>
              </w:rPr>
              <w:t>38</w:t>
            </w:r>
            <w:r w:rsidRPr="00F2007F">
              <w:rPr>
                <w:sz w:val="21"/>
                <w:szCs w:val="21"/>
              </w:rPr>
              <w:t xml:space="preserve"> «Об утверждении Порядка и сроков составления проекта бюджета </w:t>
            </w:r>
            <w:r>
              <w:rPr>
                <w:sz w:val="21"/>
                <w:szCs w:val="21"/>
              </w:rPr>
              <w:t>Табунщиковского</w:t>
            </w:r>
            <w:r w:rsidRPr="00F2007F">
              <w:rPr>
                <w:sz w:val="21"/>
                <w:szCs w:val="21"/>
              </w:rPr>
              <w:t xml:space="preserve"> сельского поселения Красносулинского района на 2019 год и на плановый период 2020 и 2021 годов»</w:t>
            </w:r>
            <w:r w:rsidRPr="008C38C4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п</w:t>
            </w:r>
            <w:r w:rsidRPr="00E44A21">
              <w:rPr>
                <w:sz w:val="21"/>
                <w:szCs w:val="21"/>
              </w:rPr>
              <w:t xml:space="preserve">редставлен в Собрание депутатов </w:t>
            </w:r>
            <w:r>
              <w:rPr>
                <w:sz w:val="21"/>
                <w:szCs w:val="21"/>
              </w:rPr>
              <w:t>Табунщиковского</w:t>
            </w:r>
            <w:r w:rsidRPr="00E44A21">
              <w:rPr>
                <w:sz w:val="21"/>
                <w:szCs w:val="21"/>
              </w:rPr>
              <w:t xml:space="preserve"> сельского поселения в установленные сроки</w:t>
            </w:r>
            <w:r w:rsidRPr="008C38C4">
              <w:rPr>
                <w:sz w:val="21"/>
                <w:szCs w:val="21"/>
              </w:rPr>
              <w:t>.</w:t>
            </w:r>
          </w:p>
          <w:p w:rsidR="00AC5DA7" w:rsidRPr="00F22E52" w:rsidRDefault="00AC5DA7" w:rsidP="00F200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</w:t>
            </w:r>
            <w:r>
              <w:rPr>
                <w:sz w:val="21"/>
                <w:szCs w:val="21"/>
              </w:rPr>
              <w:t>Табунщиковского</w:t>
            </w:r>
            <w:r w:rsidRPr="00E44A21">
              <w:rPr>
                <w:sz w:val="21"/>
                <w:szCs w:val="21"/>
              </w:rPr>
              <w:t xml:space="preserve"> сельского поселения </w:t>
            </w:r>
            <w:r>
              <w:rPr>
                <w:sz w:val="21"/>
                <w:szCs w:val="21"/>
              </w:rPr>
              <w:t>от 24.12.2019 №42</w:t>
            </w:r>
            <w:r w:rsidRPr="00E44A21">
              <w:rPr>
                <w:sz w:val="21"/>
                <w:szCs w:val="21"/>
              </w:rPr>
              <w:t xml:space="preserve"> «О бюджете </w:t>
            </w:r>
            <w:r>
              <w:rPr>
                <w:sz w:val="21"/>
                <w:szCs w:val="21"/>
              </w:rPr>
              <w:t>Табунщиковского</w:t>
            </w:r>
            <w:r w:rsidRPr="00E44A21">
              <w:rPr>
                <w:sz w:val="21"/>
                <w:szCs w:val="21"/>
              </w:rPr>
              <w:t xml:space="preserve"> сельского поселени</w:t>
            </w:r>
            <w:r>
              <w:rPr>
                <w:sz w:val="21"/>
                <w:szCs w:val="21"/>
              </w:rPr>
              <w:t>я Красносулинского района на 2020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и 202</w:t>
            </w:r>
            <w:r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Default="00AC5DA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694" w:type="dxa"/>
          </w:tcPr>
          <w:p w:rsidR="00AC5DA7" w:rsidRPr="00F24ADB" w:rsidRDefault="00AC5DA7" w:rsidP="00047E2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b/>
                <w:color w:val="000000"/>
                <w:sz w:val="22"/>
                <w:szCs w:val="22"/>
                <w:lang w:eastAsia="en-US"/>
              </w:rPr>
              <w:t xml:space="preserve">Подпрограмма 3 «Управление муниципальным долгом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Табунщиковского</w:t>
            </w:r>
            <w:r w:rsidRPr="0032306B">
              <w:rPr>
                <w:b/>
                <w:color w:val="000000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Default="00AC5DA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C5DA7" w:rsidRDefault="00AC5DA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C5DA7" w:rsidRPr="008C38C4" w:rsidRDefault="00AC5DA7" w:rsidP="008C38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C5DA7" w:rsidRPr="008C38C4" w:rsidRDefault="00AC5DA7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C5DA7" w:rsidRPr="008C38C4" w:rsidRDefault="00AC5DA7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694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сохранение объема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AC5DA7" w:rsidRPr="00491CCA" w:rsidRDefault="00AC5DA7" w:rsidP="00DA2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 xml:space="preserve">едельный объем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утвержден в соответствии с требованиями ст.107 БК РФ, объем расходов на обслуживание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491CCA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694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</w:t>
            </w:r>
            <w:r>
              <w:rPr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C5DA7" w:rsidRPr="00491CCA" w:rsidRDefault="00AC5DA7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7C7D55" w:rsidRDefault="00AC5DA7" w:rsidP="007C7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в пределах нормативов, установленных Бюджетным кодексом Российской Федерации; </w:t>
            </w:r>
          </w:p>
          <w:p w:rsidR="00AC5DA7" w:rsidRPr="00491CCA" w:rsidRDefault="00AC5DA7" w:rsidP="007C7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color w:val="000000"/>
                <w:sz w:val="21"/>
                <w:szCs w:val="21"/>
                <w:lang w:eastAsia="en-US"/>
              </w:rPr>
              <w:t>решение</w:t>
            </w:r>
            <w:r>
              <w:rPr>
                <w:color w:val="000000"/>
                <w:sz w:val="21"/>
                <w:szCs w:val="21"/>
                <w:lang w:eastAsia="en-US"/>
              </w:rPr>
              <w:t>м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Собрания депутатов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от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>2</w:t>
            </w:r>
            <w:r>
              <w:rPr>
                <w:color w:val="000000"/>
                <w:sz w:val="21"/>
                <w:szCs w:val="21"/>
                <w:lang w:eastAsia="en-US"/>
              </w:rPr>
              <w:t>6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>.12.201</w:t>
            </w:r>
            <w:r>
              <w:rPr>
                <w:color w:val="000000"/>
                <w:sz w:val="21"/>
                <w:szCs w:val="21"/>
                <w:lang w:eastAsia="en-US"/>
              </w:rPr>
              <w:t>8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№</w:t>
            </w:r>
            <w:r>
              <w:rPr>
                <w:color w:val="000000"/>
                <w:sz w:val="21"/>
                <w:szCs w:val="21"/>
                <w:lang w:eastAsia="en-US"/>
              </w:rPr>
              <w:t>18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«О бюджете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Красносулинского района на 2020 год и плановый период 2021 и 2022 годов»</w:t>
            </w:r>
            <w:r>
              <w:t xml:space="preserve"> </w:t>
            </w:r>
            <w:r w:rsidRPr="007C7D55">
              <w:rPr>
                <w:color w:val="000000"/>
                <w:sz w:val="21"/>
                <w:szCs w:val="21"/>
                <w:lang w:eastAsia="en-US"/>
              </w:rPr>
              <w:t xml:space="preserve">были запланированы расходы </w:t>
            </w:r>
            <w:r>
              <w:rPr>
                <w:color w:val="000000"/>
                <w:sz w:val="21"/>
                <w:szCs w:val="21"/>
                <w:lang w:eastAsia="en-US"/>
              </w:rPr>
              <w:t>на</w:t>
            </w:r>
            <w:r w:rsidRPr="00CD4A22">
              <w:rPr>
                <w:color w:val="000000"/>
                <w:sz w:val="21"/>
                <w:szCs w:val="21"/>
                <w:lang w:eastAsia="en-US"/>
              </w:rPr>
              <w:t xml:space="preserve"> обслуживани</w:t>
            </w:r>
            <w:r>
              <w:rPr>
                <w:color w:val="000000"/>
                <w:sz w:val="21"/>
                <w:szCs w:val="21"/>
                <w:lang w:eastAsia="en-US"/>
              </w:rPr>
              <w:t>е</w:t>
            </w:r>
            <w:r w:rsidRPr="00CD4A22">
              <w:rPr>
                <w:color w:val="000000"/>
                <w:sz w:val="21"/>
                <w:szCs w:val="21"/>
                <w:lang w:eastAsia="en-US"/>
              </w:rPr>
              <w:t xml:space="preserve"> муниципального долга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CD4A22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в сумме 0,0 тыс. рублей, фактические расходы составили 0,0 тыс. рублей.</w:t>
            </w:r>
          </w:p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C5DA7" w:rsidRPr="0066607B" w:rsidTr="00FC3667">
        <w:tc>
          <w:tcPr>
            <w:tcW w:w="568" w:type="dxa"/>
          </w:tcPr>
          <w:p w:rsidR="00AC5DA7" w:rsidRPr="00491CCA" w:rsidRDefault="00AC5DA7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AC5DA7" w:rsidRDefault="00AC5DA7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AC5DA7" w:rsidRPr="00BE1C35" w:rsidRDefault="00AC5DA7" w:rsidP="00CD4A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</w:t>
            </w:r>
            <w:r>
              <w:rPr>
                <w:kern w:val="2"/>
                <w:sz w:val="21"/>
                <w:szCs w:val="21"/>
              </w:rPr>
              <w:t>Табунщиковского</w:t>
            </w:r>
            <w:r w:rsidRPr="00CD4A22">
              <w:rPr>
                <w:kern w:val="2"/>
                <w:sz w:val="21"/>
                <w:szCs w:val="21"/>
              </w:rPr>
              <w:t xml:space="preserve">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</w:t>
            </w:r>
            <w:r>
              <w:rPr>
                <w:kern w:val="2"/>
                <w:sz w:val="21"/>
                <w:szCs w:val="21"/>
              </w:rPr>
              <w:t>Табунщиковского</w:t>
            </w:r>
            <w:r w:rsidRPr="00CD4A22">
              <w:rPr>
                <w:kern w:val="2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AC5DA7" w:rsidRPr="00491CCA" w:rsidRDefault="00AC5DA7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– Здроб О.Н. Начальник СЭиФ – Васькова О.В.</w:t>
            </w:r>
          </w:p>
        </w:tc>
        <w:tc>
          <w:tcPr>
            <w:tcW w:w="1134" w:type="dxa"/>
          </w:tcPr>
          <w:p w:rsidR="00AC5DA7" w:rsidRPr="00491CCA" w:rsidRDefault="00AC5DA7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C5DA7" w:rsidRPr="00491CCA" w:rsidRDefault="00AC5DA7" w:rsidP="0020374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C5DA7" w:rsidRPr="00491CCA" w:rsidRDefault="00AC5DA7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C5DA7" w:rsidRPr="00491CCA" w:rsidRDefault="00AC5DA7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C5DA7" w:rsidRPr="008E150F" w:rsidRDefault="00AC5DA7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C5DA7" w:rsidRPr="00110F43" w:rsidRDefault="00AC5DA7" w:rsidP="0020374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C5DA7" w:rsidRPr="009E007D" w:rsidRDefault="00AC5DA7" w:rsidP="009E0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средств для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AC5DA7" w:rsidRDefault="00AC5DA7" w:rsidP="00CD4A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принято постановление Администрации Табунщиковского сельского поселения от 30.10.2018 №73 «</w:t>
            </w:r>
            <w:r w:rsidRPr="00CD4A22">
              <w:rPr>
                <w:color w:val="000000"/>
                <w:sz w:val="21"/>
                <w:szCs w:val="21"/>
                <w:lang w:eastAsia="en-US"/>
              </w:rPr>
              <w:t xml:space="preserve">Об основных направлениях долговой политики </w:t>
            </w:r>
            <w:r>
              <w:rPr>
                <w:color w:val="000000"/>
                <w:sz w:val="21"/>
                <w:szCs w:val="21"/>
                <w:lang w:eastAsia="en-US"/>
              </w:rPr>
              <w:t>Табунщиковского</w:t>
            </w:r>
            <w:r w:rsidRPr="00CD4A22">
              <w:rPr>
                <w:color w:val="000000"/>
                <w:sz w:val="21"/>
                <w:szCs w:val="21"/>
                <w:lang w:eastAsia="en-US"/>
              </w:rPr>
              <w:t xml:space="preserve"> сельского поселения на 2019 год и на плановый период 2020 и 2021 годов</w:t>
            </w:r>
            <w:r>
              <w:rPr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842" w:type="dxa"/>
          </w:tcPr>
          <w:p w:rsidR="00AC5DA7" w:rsidRPr="00491CCA" w:rsidRDefault="00AC5DA7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AC5DA7" w:rsidRDefault="00AC5DA7" w:rsidP="00C1104E">
      <w:pPr>
        <w:ind w:firstLine="567"/>
        <w:jc w:val="both"/>
        <w:rPr>
          <w:color w:val="000000"/>
          <w:kern w:val="2"/>
        </w:rPr>
        <w:sectPr w:rsidR="00AC5DA7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AC5DA7" w:rsidRPr="005804A1" w:rsidRDefault="00AC5DA7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Приложение № 2</w:t>
      </w:r>
    </w:p>
    <w:p w:rsidR="00AC5DA7" w:rsidRPr="005804A1" w:rsidRDefault="00AC5DA7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«Управление муниципальными финансами» за 201</w:t>
      </w:r>
      <w:r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AC5DA7" w:rsidRPr="005804A1" w:rsidRDefault="00AC5DA7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5DA7" w:rsidRPr="005804A1" w:rsidRDefault="00AC5DA7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AC5DA7" w:rsidRPr="005804A1" w:rsidRDefault="00AC5DA7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201</w:t>
      </w:r>
      <w:r>
        <w:rPr>
          <w:b/>
          <w:szCs w:val="28"/>
        </w:rPr>
        <w:t>9</w:t>
      </w:r>
      <w:r w:rsidRPr="005804A1">
        <w:rPr>
          <w:b/>
          <w:szCs w:val="28"/>
        </w:rPr>
        <w:t xml:space="preserve"> год</w:t>
      </w:r>
    </w:p>
    <w:p w:rsidR="00AC5DA7" w:rsidRPr="00D6188C" w:rsidRDefault="00AC5DA7" w:rsidP="004E4071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410"/>
        <w:gridCol w:w="1701"/>
        <w:gridCol w:w="1701"/>
        <w:gridCol w:w="2268"/>
      </w:tblGrid>
      <w:tr w:rsidR="00AC5DA7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C5DA7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5DA7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AC5DA7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4454,0</w:t>
            </w:r>
          </w:p>
        </w:tc>
      </w:tr>
      <w:tr w:rsidR="00AC5DA7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</w:tr>
      <w:tr w:rsidR="00AC5DA7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460,3</w:t>
            </w:r>
          </w:p>
        </w:tc>
      </w:tr>
      <w:tr w:rsidR="00AC5DA7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Разработка и реализация механизмов контроля за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110F43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4454,0</w:t>
            </w:r>
          </w:p>
        </w:tc>
      </w:tr>
      <w:tr w:rsidR="00AC5DA7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</w:tr>
      <w:tr w:rsidR="00AC5DA7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460,3</w:t>
            </w:r>
          </w:p>
        </w:tc>
      </w:tr>
      <w:tr w:rsidR="00AC5DA7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1"/>
                <w:szCs w:val="21"/>
              </w:rPr>
              <w:t>Табунщиковского</w:t>
            </w:r>
            <w:r w:rsidRPr="00F77FB2">
              <w:rPr>
                <w:color w:val="000000"/>
                <w:sz w:val="21"/>
                <w:szCs w:val="21"/>
              </w:rPr>
              <w:t xml:space="preserve">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1701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571,8</w:t>
            </w:r>
          </w:p>
        </w:tc>
        <w:tc>
          <w:tcPr>
            <w:tcW w:w="2268" w:type="dxa"/>
          </w:tcPr>
          <w:p w:rsidR="00AC5DA7" w:rsidRPr="00032A43" w:rsidRDefault="00AC5DA7" w:rsidP="00430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4454,0</w:t>
            </w:r>
          </w:p>
        </w:tc>
      </w:tr>
      <w:tr w:rsidR="00AC5DA7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  <w:tc>
          <w:tcPr>
            <w:tcW w:w="2268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23,7</w:t>
            </w:r>
          </w:p>
        </w:tc>
      </w:tr>
      <w:tr w:rsidR="00AC5DA7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1701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548,1</w:t>
            </w:r>
          </w:p>
        </w:tc>
        <w:tc>
          <w:tcPr>
            <w:tcW w:w="2268" w:type="dxa"/>
          </w:tcPr>
          <w:p w:rsidR="00AC5DA7" w:rsidRPr="00032A43" w:rsidRDefault="00AC5DA7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 460,3</w:t>
            </w:r>
          </w:p>
        </w:tc>
      </w:tr>
      <w:tr w:rsidR="00AC5DA7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AC5DA7" w:rsidRPr="00F77FB2" w:rsidRDefault="00AC5DA7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4 </w:t>
            </w:r>
            <w:r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C5DA7" w:rsidRPr="00F77FB2" w:rsidRDefault="00AC5DA7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C5DA7" w:rsidRPr="000F2C12" w:rsidRDefault="00AC5DA7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</w:t>
            </w:r>
            <w:r>
              <w:rPr>
                <w:color w:val="000000"/>
                <w:sz w:val="21"/>
                <w:szCs w:val="21"/>
              </w:rPr>
              <w:t>Табунщиковского</w:t>
            </w:r>
            <w:r w:rsidRPr="00F77FB2">
              <w:rPr>
                <w:color w:val="000000"/>
                <w:sz w:val="21"/>
                <w:szCs w:val="21"/>
              </w:rPr>
              <w:t xml:space="preserve"> сельского поселения Красносулинского района»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«Управление муниципальным долгом </w:t>
            </w:r>
            <w:r>
              <w:rPr>
                <w:b/>
                <w:color w:val="000000"/>
                <w:sz w:val="21"/>
                <w:szCs w:val="21"/>
              </w:rPr>
              <w:t>Табунщиковского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color w:val="000000"/>
                <w:sz w:val="21"/>
                <w:szCs w:val="21"/>
              </w:rPr>
              <w:t>Табунщиковского</w:t>
            </w:r>
            <w:r w:rsidRPr="00F77FB2">
              <w:rPr>
                <w:color w:val="000000"/>
                <w:sz w:val="21"/>
                <w:szCs w:val="21"/>
              </w:rP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color w:val="000000"/>
                <w:sz w:val="21"/>
                <w:szCs w:val="21"/>
              </w:rPr>
              <w:t>Табунщиковского</w:t>
            </w:r>
            <w:r w:rsidRPr="00F77FB2">
              <w:rPr>
                <w:color w:val="000000"/>
                <w:sz w:val="21"/>
                <w:szCs w:val="21"/>
              </w:rPr>
              <w:t xml:space="preserve">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C5DA7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5DA7" w:rsidRPr="000F2C12" w:rsidRDefault="00AC5DA7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AC5DA7" w:rsidRPr="000F2C12" w:rsidRDefault="00AC5DA7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C5DA7" w:rsidRPr="004E4071" w:rsidRDefault="00AC5DA7" w:rsidP="00FA3157">
      <w:pPr>
        <w:autoSpaceDE w:val="0"/>
        <w:autoSpaceDN w:val="0"/>
        <w:adjustRightInd w:val="0"/>
        <w:rPr>
          <w:color w:val="000000"/>
        </w:rPr>
        <w:sectPr w:rsidR="00AC5DA7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AC5DA7" w:rsidRPr="00304E53" w:rsidRDefault="00AC5DA7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t>Приложение № 3</w:t>
      </w:r>
    </w:p>
    <w:p w:rsidR="00AC5DA7" w:rsidRPr="00304E53" w:rsidRDefault="00AC5DA7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 xml:space="preserve">к отчету о реализации муниципальной программы  </w:t>
      </w:r>
      <w:r>
        <w:rPr>
          <w:sz w:val="20"/>
          <w:szCs w:val="20"/>
        </w:rPr>
        <w:t>Табунщиковского</w:t>
      </w:r>
      <w:r w:rsidRPr="00304E53">
        <w:rPr>
          <w:sz w:val="20"/>
          <w:szCs w:val="20"/>
        </w:rPr>
        <w:t xml:space="preserve"> сельского поселения «Управление муниципальными финансами» за 201</w:t>
      </w:r>
      <w:r>
        <w:rPr>
          <w:sz w:val="20"/>
          <w:szCs w:val="20"/>
        </w:rPr>
        <w:t>9</w:t>
      </w:r>
      <w:r w:rsidRPr="00304E53">
        <w:rPr>
          <w:sz w:val="20"/>
          <w:szCs w:val="20"/>
        </w:rPr>
        <w:t xml:space="preserve"> год</w:t>
      </w:r>
    </w:p>
    <w:p w:rsidR="00AC5DA7" w:rsidRDefault="00AC5DA7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AC5DA7" w:rsidRDefault="00AC5DA7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4D354A">
        <w:rPr>
          <w:b/>
          <w:color w:val="000000"/>
          <w:lang w:eastAsia="en-US"/>
        </w:rPr>
        <w:t xml:space="preserve">Сведения о достижении значений показателей </w:t>
      </w:r>
    </w:p>
    <w:p w:rsidR="00AC5DA7" w:rsidRPr="004D354A" w:rsidRDefault="00AC5DA7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C5DA7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C66D8D" w:rsidRDefault="00AC5DA7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C5DA7" w:rsidRPr="00F67C96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C5DA7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5DA7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5DA7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F67C96" w:rsidRDefault="00AC5DA7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Муниципальная программа  «Управление муниципальными финансами»</w:t>
            </w:r>
          </w:p>
        </w:tc>
      </w:tr>
      <w:tr w:rsidR="00AC5DA7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Наличие бюджетного прогноза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</w:t>
            </w:r>
            <w:r>
              <w:rPr>
                <w:color w:val="000000"/>
                <w:sz w:val="20"/>
                <w:szCs w:val="20"/>
              </w:rPr>
              <w:t>Табунщиковском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сельском поселении, определяемое Финансово-экономическим управлением Администрации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875EE1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875EE1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875EE1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6F0F72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Красносулинского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875EE1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C72E7B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C72E7B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C72E7B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875EE1" w:rsidRDefault="00AC5DA7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0F72">
              <w:rPr>
                <w:color w:val="000000"/>
                <w:sz w:val="20"/>
                <w:szCs w:val="20"/>
              </w:rPr>
              <w:t xml:space="preserve">Не исполнение доходной части </w:t>
            </w:r>
            <w:r w:rsidRPr="006F0F72">
              <w:rPr>
                <w:sz w:val="20"/>
                <w:szCs w:val="20"/>
              </w:rPr>
              <w:t>в связи с уменьшением налогооблагаемой базы по налогу на имущество физических лиц(собственниками не оформлены документы на имущество по дополнительным строениям), неплатежеспособность населения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1  «Долгосрочное финансовое планирование»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 xml:space="preserve">Объем налоговых и неналоговых доходов бюджета </w:t>
            </w:r>
            <w:r>
              <w:rPr>
                <w:sz w:val="20"/>
                <w:szCs w:val="20"/>
              </w:rPr>
              <w:t>Табунщиковского</w:t>
            </w:r>
            <w:r w:rsidRPr="00C72E7B">
              <w:rPr>
                <w:sz w:val="20"/>
                <w:szCs w:val="20"/>
              </w:rPr>
              <w:t xml:space="preserve"> сельского поселения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AC5DA7" w:rsidRPr="007E5400" w:rsidRDefault="00AC5DA7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6F0F72" w:rsidRDefault="00AC5DA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F0F72">
              <w:rPr>
                <w:bCs/>
                <w:kern w:val="2"/>
                <w:sz w:val="20"/>
                <w:szCs w:val="20"/>
              </w:rPr>
              <w:t>2 507,1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6F0F72" w:rsidRDefault="00AC5DA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F0F72">
              <w:rPr>
                <w:bCs/>
                <w:kern w:val="2"/>
                <w:sz w:val="20"/>
                <w:szCs w:val="20"/>
              </w:rPr>
              <w:t>2 435,8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6F0F72" w:rsidRDefault="00AC5DA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F0F72">
              <w:rPr>
                <w:sz w:val="20"/>
                <w:szCs w:val="20"/>
              </w:rPr>
              <w:t>2301,6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6F0F72" w:rsidRDefault="00AC5DA7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0F72">
              <w:rPr>
                <w:color w:val="000000"/>
                <w:sz w:val="20"/>
                <w:szCs w:val="20"/>
              </w:rPr>
              <w:t xml:space="preserve">Не исполнение доходной части </w:t>
            </w:r>
            <w:r w:rsidRPr="006F0F72">
              <w:rPr>
                <w:sz w:val="20"/>
                <w:szCs w:val="20"/>
              </w:rPr>
              <w:t>в связи с уменьшением налогооблагаемой базы по налогу на имущество физических лиц(собственниками не оформлены документы на имущество по дополнительным строениям), неплатежеспособность населения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 xml:space="preserve">Доля расходов бюджета </w:t>
            </w:r>
            <w:r>
              <w:rPr>
                <w:sz w:val="20"/>
                <w:szCs w:val="20"/>
              </w:rPr>
              <w:t>Табунщиковского</w:t>
            </w:r>
            <w:r w:rsidRPr="00C72E7B">
              <w:rPr>
                <w:sz w:val="20"/>
                <w:szCs w:val="20"/>
              </w:rPr>
              <w:t xml:space="preserve"> сельского поселения Красносулинского района, формируемых в рамках муниципальных программ </w:t>
            </w:r>
            <w:r>
              <w:rPr>
                <w:sz w:val="20"/>
                <w:szCs w:val="20"/>
              </w:rPr>
              <w:t>Табунщиковского</w:t>
            </w:r>
            <w:r w:rsidRPr="00C72E7B">
              <w:rPr>
                <w:sz w:val="20"/>
                <w:szCs w:val="20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98,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060E51" w:rsidRDefault="00AC5DA7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расходов по иным непрограммным мероприятиям в рамках непрограммного направления деятельности органа местного самоуправления Табунщиковского сельского поселения </w:t>
            </w:r>
            <w:r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Красносулинского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E540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A5A13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производились в пределах плана 201</w:t>
            </w:r>
            <w:r>
              <w:rPr>
                <w:kern w:val="2"/>
                <w:sz w:val="20"/>
                <w:szCs w:val="20"/>
              </w:rPr>
              <w:t>9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C72E7B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AC5DA7" w:rsidRPr="00C72E7B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результатам которых выявлены нарушения бюджетного законодательства Российской Федерации </w:t>
            </w:r>
          </w:p>
          <w:p w:rsidR="00AC5DA7" w:rsidRPr="007E5400" w:rsidRDefault="00AC5DA7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A5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Pr="00C72E7B">
              <w:rPr>
                <w:b/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r>
              <w:rPr>
                <w:b/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b/>
                <w:color w:val="000000"/>
                <w:sz w:val="20"/>
                <w:szCs w:val="20"/>
              </w:rPr>
              <w:t xml:space="preserve">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к общему годовому объему доходов бюджета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Красносулинского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5DA7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A7" w:rsidRPr="007E5400" w:rsidRDefault="00AC5DA7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в объеме расходов бюджета </w:t>
            </w:r>
            <w:r>
              <w:rPr>
                <w:color w:val="000000"/>
                <w:sz w:val="20"/>
                <w:szCs w:val="20"/>
              </w:rPr>
              <w:t>Табунщиковского</w:t>
            </w:r>
            <w:r w:rsidRPr="00C72E7B">
              <w:rPr>
                <w:color w:val="000000"/>
                <w:sz w:val="20"/>
                <w:szCs w:val="20"/>
              </w:rPr>
              <w:t xml:space="preserve">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7" w:rsidRPr="007E5400" w:rsidRDefault="00AC5DA7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C5DA7" w:rsidRPr="007E5400" w:rsidRDefault="00AC5DA7" w:rsidP="00FA3157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AC5DA7" w:rsidRDefault="00AC5DA7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C5DA7" w:rsidRDefault="00AC5DA7" w:rsidP="007E540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2"/>
          <w:szCs w:val="22"/>
          <w:lang w:eastAsia="en-US"/>
        </w:rPr>
      </w:pPr>
    </w:p>
    <w:sectPr w:rsidR="00AC5DA7" w:rsidSect="00C1104E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A7" w:rsidRDefault="00AC5DA7">
      <w:r>
        <w:separator/>
      </w:r>
    </w:p>
  </w:endnote>
  <w:endnote w:type="continuationSeparator" w:id="0">
    <w:p w:rsidR="00AC5DA7" w:rsidRDefault="00AC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Pr="00561E2E" w:rsidRDefault="00AC5DA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AC5DA7" w:rsidRDefault="00AC5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Pr="0007631D" w:rsidRDefault="00AC5DA7" w:rsidP="000F2C12">
    <w:pPr>
      <w:pStyle w:val="Footer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07631D">
      <w:rPr>
        <w:sz w:val="20"/>
        <w:szCs w:val="20"/>
      </w:rPr>
      <w:fldChar w:fldCharType="end"/>
    </w:r>
  </w:p>
  <w:p w:rsidR="00AC5DA7" w:rsidRDefault="00AC5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AC5DA7" w:rsidP="00081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C5DA7" w:rsidRDefault="00AC5DA7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Pr="00A5029B" w:rsidRDefault="00AC5DA7">
    <w:pPr>
      <w:pStyle w:val="Footer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>
      <w:rPr>
        <w:noProof/>
        <w:sz w:val="20"/>
        <w:szCs w:val="20"/>
      </w:rPr>
      <w:t>17</w:t>
    </w:r>
    <w:r w:rsidRPr="00A5029B">
      <w:rPr>
        <w:sz w:val="20"/>
        <w:szCs w:val="20"/>
      </w:rPr>
      <w:fldChar w:fldCharType="end"/>
    </w:r>
  </w:p>
  <w:p w:rsidR="00AC5DA7" w:rsidRPr="00561E2E" w:rsidRDefault="00AC5DA7" w:rsidP="00A5029B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A7" w:rsidRDefault="00AC5DA7">
      <w:r>
        <w:separator/>
      </w:r>
    </w:p>
  </w:footnote>
  <w:footnote w:type="continuationSeparator" w:id="0">
    <w:p w:rsidR="00AC5DA7" w:rsidRDefault="00AC5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AC5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C5DA7" w:rsidRDefault="00AC5D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AC5DA7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8C"/>
    <w:rsid w:val="0000142A"/>
    <w:rsid w:val="00001CED"/>
    <w:rsid w:val="00005531"/>
    <w:rsid w:val="00010272"/>
    <w:rsid w:val="00011494"/>
    <w:rsid w:val="00011524"/>
    <w:rsid w:val="0001319A"/>
    <w:rsid w:val="00014043"/>
    <w:rsid w:val="000140D0"/>
    <w:rsid w:val="0001761C"/>
    <w:rsid w:val="00017737"/>
    <w:rsid w:val="0002217C"/>
    <w:rsid w:val="00022483"/>
    <w:rsid w:val="00023C3B"/>
    <w:rsid w:val="00024B16"/>
    <w:rsid w:val="00027EDE"/>
    <w:rsid w:val="00030F5B"/>
    <w:rsid w:val="000310AD"/>
    <w:rsid w:val="00032A43"/>
    <w:rsid w:val="00033346"/>
    <w:rsid w:val="00033404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A00FA"/>
    <w:rsid w:val="000A03F1"/>
    <w:rsid w:val="000A1226"/>
    <w:rsid w:val="000A1C8A"/>
    <w:rsid w:val="000A27F5"/>
    <w:rsid w:val="000A445F"/>
    <w:rsid w:val="000A5F92"/>
    <w:rsid w:val="000A6ABD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65AD"/>
    <w:rsid w:val="000D0207"/>
    <w:rsid w:val="000D04A6"/>
    <w:rsid w:val="000D078F"/>
    <w:rsid w:val="000D0B0B"/>
    <w:rsid w:val="000D1E3C"/>
    <w:rsid w:val="000D350A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252C"/>
    <w:rsid w:val="0013292D"/>
    <w:rsid w:val="00134951"/>
    <w:rsid w:val="00135156"/>
    <w:rsid w:val="00135F51"/>
    <w:rsid w:val="0013676B"/>
    <w:rsid w:val="00136A8E"/>
    <w:rsid w:val="001376CA"/>
    <w:rsid w:val="001422C5"/>
    <w:rsid w:val="0014269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693"/>
    <w:rsid w:val="00153DF0"/>
    <w:rsid w:val="0015489E"/>
    <w:rsid w:val="0015680F"/>
    <w:rsid w:val="00157041"/>
    <w:rsid w:val="00157353"/>
    <w:rsid w:val="00160357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75D87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A7C"/>
    <w:rsid w:val="00280C0C"/>
    <w:rsid w:val="002837C9"/>
    <w:rsid w:val="0028593C"/>
    <w:rsid w:val="002869CA"/>
    <w:rsid w:val="00286BBC"/>
    <w:rsid w:val="00286D05"/>
    <w:rsid w:val="00290922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F08"/>
    <w:rsid w:val="002E0119"/>
    <w:rsid w:val="002E047A"/>
    <w:rsid w:val="002E1C96"/>
    <w:rsid w:val="002E369C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202BF"/>
    <w:rsid w:val="003208A2"/>
    <w:rsid w:val="00322E4F"/>
    <w:rsid w:val="0032306B"/>
    <w:rsid w:val="003254E1"/>
    <w:rsid w:val="00327718"/>
    <w:rsid w:val="00332406"/>
    <w:rsid w:val="003329CE"/>
    <w:rsid w:val="00333097"/>
    <w:rsid w:val="003356A9"/>
    <w:rsid w:val="00337B12"/>
    <w:rsid w:val="0034031C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605E2"/>
    <w:rsid w:val="003605F7"/>
    <w:rsid w:val="00360709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90CB6"/>
    <w:rsid w:val="00392852"/>
    <w:rsid w:val="0039466B"/>
    <w:rsid w:val="003A0DBB"/>
    <w:rsid w:val="003A1C3A"/>
    <w:rsid w:val="003A3475"/>
    <w:rsid w:val="003A5590"/>
    <w:rsid w:val="003A61A3"/>
    <w:rsid w:val="003B135D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0D69"/>
    <w:rsid w:val="00431152"/>
    <w:rsid w:val="00431B86"/>
    <w:rsid w:val="00431FCF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718B"/>
    <w:rsid w:val="004707D1"/>
    <w:rsid w:val="00470C84"/>
    <w:rsid w:val="00471FA8"/>
    <w:rsid w:val="004728B1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12E5"/>
    <w:rsid w:val="00491CCA"/>
    <w:rsid w:val="00491CEB"/>
    <w:rsid w:val="00491E11"/>
    <w:rsid w:val="004942C9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17DE"/>
    <w:rsid w:val="004D354A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502581"/>
    <w:rsid w:val="00502F31"/>
    <w:rsid w:val="00503E7D"/>
    <w:rsid w:val="005068F0"/>
    <w:rsid w:val="00507162"/>
    <w:rsid w:val="00507B5F"/>
    <w:rsid w:val="0051154C"/>
    <w:rsid w:val="00512EB2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50845"/>
    <w:rsid w:val="005521FD"/>
    <w:rsid w:val="0055276A"/>
    <w:rsid w:val="00552922"/>
    <w:rsid w:val="0055364E"/>
    <w:rsid w:val="00553B4B"/>
    <w:rsid w:val="005545F0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306D"/>
    <w:rsid w:val="005979F9"/>
    <w:rsid w:val="005A097C"/>
    <w:rsid w:val="005A0BEB"/>
    <w:rsid w:val="005A0D9E"/>
    <w:rsid w:val="005A26EB"/>
    <w:rsid w:val="005A2BFE"/>
    <w:rsid w:val="005A4010"/>
    <w:rsid w:val="005A51CB"/>
    <w:rsid w:val="005A5601"/>
    <w:rsid w:val="005A67A8"/>
    <w:rsid w:val="005B0042"/>
    <w:rsid w:val="005B08C7"/>
    <w:rsid w:val="005B1DEA"/>
    <w:rsid w:val="005B2D61"/>
    <w:rsid w:val="005B32AA"/>
    <w:rsid w:val="005B3C93"/>
    <w:rsid w:val="005B52D1"/>
    <w:rsid w:val="005C082B"/>
    <w:rsid w:val="005C0A25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782C"/>
    <w:rsid w:val="005E20C4"/>
    <w:rsid w:val="005E3E28"/>
    <w:rsid w:val="005E6F9E"/>
    <w:rsid w:val="005F0C86"/>
    <w:rsid w:val="005F2167"/>
    <w:rsid w:val="005F3287"/>
    <w:rsid w:val="005F4DB9"/>
    <w:rsid w:val="005F6481"/>
    <w:rsid w:val="005F6A7D"/>
    <w:rsid w:val="00601130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07B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2C1E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3EE1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0F72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3167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32E9"/>
    <w:rsid w:val="007E3D84"/>
    <w:rsid w:val="007E5139"/>
    <w:rsid w:val="007E5400"/>
    <w:rsid w:val="007E7D4C"/>
    <w:rsid w:val="007F0598"/>
    <w:rsid w:val="007F108D"/>
    <w:rsid w:val="007F12F5"/>
    <w:rsid w:val="007F2D8B"/>
    <w:rsid w:val="007F3F24"/>
    <w:rsid w:val="007F5901"/>
    <w:rsid w:val="007F65AD"/>
    <w:rsid w:val="007F6DF4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A3F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C2279"/>
    <w:rsid w:val="008C33C4"/>
    <w:rsid w:val="008C38C4"/>
    <w:rsid w:val="008C4024"/>
    <w:rsid w:val="008D1951"/>
    <w:rsid w:val="008D362A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2366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317A0"/>
    <w:rsid w:val="00935469"/>
    <w:rsid w:val="0094113E"/>
    <w:rsid w:val="00941B15"/>
    <w:rsid w:val="009429B0"/>
    <w:rsid w:val="00943003"/>
    <w:rsid w:val="0094394F"/>
    <w:rsid w:val="009448A7"/>
    <w:rsid w:val="009450D8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63E65"/>
    <w:rsid w:val="0096775C"/>
    <w:rsid w:val="00972054"/>
    <w:rsid w:val="009724FD"/>
    <w:rsid w:val="00973D77"/>
    <w:rsid w:val="00973EA9"/>
    <w:rsid w:val="009758D0"/>
    <w:rsid w:val="00975D42"/>
    <w:rsid w:val="00976C5C"/>
    <w:rsid w:val="00977C49"/>
    <w:rsid w:val="00983A43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577"/>
    <w:rsid w:val="009D773D"/>
    <w:rsid w:val="009D7BB6"/>
    <w:rsid w:val="009D7D09"/>
    <w:rsid w:val="009E007D"/>
    <w:rsid w:val="009E122F"/>
    <w:rsid w:val="009E2269"/>
    <w:rsid w:val="009E3A34"/>
    <w:rsid w:val="009E47DD"/>
    <w:rsid w:val="009E5A10"/>
    <w:rsid w:val="009E7C75"/>
    <w:rsid w:val="009F347F"/>
    <w:rsid w:val="009F356A"/>
    <w:rsid w:val="009F4F9B"/>
    <w:rsid w:val="00A0332A"/>
    <w:rsid w:val="00A056DB"/>
    <w:rsid w:val="00A06621"/>
    <w:rsid w:val="00A0669C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39AE"/>
    <w:rsid w:val="00A349FD"/>
    <w:rsid w:val="00A35BE4"/>
    <w:rsid w:val="00A35D23"/>
    <w:rsid w:val="00A36237"/>
    <w:rsid w:val="00A37086"/>
    <w:rsid w:val="00A371F0"/>
    <w:rsid w:val="00A42408"/>
    <w:rsid w:val="00A4249B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6B3B"/>
    <w:rsid w:val="00A5783B"/>
    <w:rsid w:val="00A60C9D"/>
    <w:rsid w:val="00A615C6"/>
    <w:rsid w:val="00A62BD7"/>
    <w:rsid w:val="00A662BC"/>
    <w:rsid w:val="00A66C57"/>
    <w:rsid w:val="00A6713D"/>
    <w:rsid w:val="00A67E1E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5DA7"/>
    <w:rsid w:val="00AC5E7A"/>
    <w:rsid w:val="00AC7795"/>
    <w:rsid w:val="00AC799D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4E8"/>
    <w:rsid w:val="00B448D4"/>
    <w:rsid w:val="00B45408"/>
    <w:rsid w:val="00B45E2C"/>
    <w:rsid w:val="00B46D4C"/>
    <w:rsid w:val="00B523D2"/>
    <w:rsid w:val="00B52854"/>
    <w:rsid w:val="00B53F73"/>
    <w:rsid w:val="00B55E89"/>
    <w:rsid w:val="00B62618"/>
    <w:rsid w:val="00B63E83"/>
    <w:rsid w:val="00B70490"/>
    <w:rsid w:val="00B70A71"/>
    <w:rsid w:val="00B70FA8"/>
    <w:rsid w:val="00B7277A"/>
    <w:rsid w:val="00B73780"/>
    <w:rsid w:val="00B82BD8"/>
    <w:rsid w:val="00B8658B"/>
    <w:rsid w:val="00B86884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539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D2781"/>
    <w:rsid w:val="00BD47D4"/>
    <w:rsid w:val="00BD55BE"/>
    <w:rsid w:val="00BD573A"/>
    <w:rsid w:val="00BD5BD0"/>
    <w:rsid w:val="00BD7FBF"/>
    <w:rsid w:val="00BE0692"/>
    <w:rsid w:val="00BE1C35"/>
    <w:rsid w:val="00BE42FA"/>
    <w:rsid w:val="00BE53D3"/>
    <w:rsid w:val="00BE6929"/>
    <w:rsid w:val="00BE71E8"/>
    <w:rsid w:val="00BE7D93"/>
    <w:rsid w:val="00BF0F9F"/>
    <w:rsid w:val="00BF1D4E"/>
    <w:rsid w:val="00BF29CD"/>
    <w:rsid w:val="00BF6AEF"/>
    <w:rsid w:val="00C012BC"/>
    <w:rsid w:val="00C04F35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AB8"/>
    <w:rsid w:val="00C9130F"/>
    <w:rsid w:val="00C92C32"/>
    <w:rsid w:val="00C950F5"/>
    <w:rsid w:val="00C96F5C"/>
    <w:rsid w:val="00C977A2"/>
    <w:rsid w:val="00CA242D"/>
    <w:rsid w:val="00CA266C"/>
    <w:rsid w:val="00CA3073"/>
    <w:rsid w:val="00CA5885"/>
    <w:rsid w:val="00CA5A13"/>
    <w:rsid w:val="00CA6BC9"/>
    <w:rsid w:val="00CA7BAC"/>
    <w:rsid w:val="00CB2A78"/>
    <w:rsid w:val="00CB2D46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32D3"/>
    <w:rsid w:val="00D146A0"/>
    <w:rsid w:val="00D161A0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8C1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C48"/>
    <w:rsid w:val="00DA2478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BF3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4864"/>
    <w:rsid w:val="00E06D4D"/>
    <w:rsid w:val="00E125A7"/>
    <w:rsid w:val="00E1333E"/>
    <w:rsid w:val="00E13836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3538"/>
    <w:rsid w:val="00E543DB"/>
    <w:rsid w:val="00E56FD9"/>
    <w:rsid w:val="00E57ACA"/>
    <w:rsid w:val="00E613AC"/>
    <w:rsid w:val="00E63510"/>
    <w:rsid w:val="00E67331"/>
    <w:rsid w:val="00E67854"/>
    <w:rsid w:val="00E67CFA"/>
    <w:rsid w:val="00E72A1D"/>
    <w:rsid w:val="00E7635D"/>
    <w:rsid w:val="00E76724"/>
    <w:rsid w:val="00E7728C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315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7E56"/>
    <w:rsid w:val="00F2007F"/>
    <w:rsid w:val="00F20C24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1301"/>
    <w:rsid w:val="00F7305F"/>
    <w:rsid w:val="00F7420C"/>
    <w:rsid w:val="00F74E55"/>
    <w:rsid w:val="00F77FB2"/>
    <w:rsid w:val="00F8015E"/>
    <w:rsid w:val="00F8132E"/>
    <w:rsid w:val="00F81555"/>
    <w:rsid w:val="00F83C1F"/>
    <w:rsid w:val="00F85CD1"/>
    <w:rsid w:val="00F85E91"/>
    <w:rsid w:val="00F92DD5"/>
    <w:rsid w:val="00F94F6C"/>
    <w:rsid w:val="00F95AEA"/>
    <w:rsid w:val="00F9652E"/>
    <w:rsid w:val="00F97A0D"/>
    <w:rsid w:val="00F97D3F"/>
    <w:rsid w:val="00FA027C"/>
    <w:rsid w:val="00FA0842"/>
    <w:rsid w:val="00FA3157"/>
    <w:rsid w:val="00FA42FE"/>
    <w:rsid w:val="00FA55BF"/>
    <w:rsid w:val="00FA58A8"/>
    <w:rsid w:val="00FA594F"/>
    <w:rsid w:val="00FA5AAC"/>
    <w:rsid w:val="00FA649B"/>
    <w:rsid w:val="00FB0024"/>
    <w:rsid w:val="00FB0100"/>
    <w:rsid w:val="00FB184E"/>
    <w:rsid w:val="00FB3738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95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69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9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695"/>
    <w:pPr>
      <w:keepNext/>
      <w:jc w:val="right"/>
      <w:outlineLvl w:val="3"/>
    </w:pPr>
    <w:rPr>
      <w:i/>
      <w:iCs/>
      <w:sz w:val="20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695"/>
    <w:pPr>
      <w:keepNext/>
      <w:jc w:val="center"/>
      <w:outlineLvl w:val="4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F44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6F44"/>
    <w:rPr>
      <w:rFonts w:ascii="Cambria" w:hAnsi="Cambria"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1426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6F4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426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F44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142695"/>
    <w:pPr>
      <w:ind w:firstLine="708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42695"/>
    <w:pPr>
      <w:ind w:firstLine="705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42695"/>
    <w:pPr>
      <w:ind w:firstLine="70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4269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4269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269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6BB1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14269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95"/>
    <w:pPr>
      <w:tabs>
        <w:tab w:val="num" w:pos="1000"/>
      </w:tabs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45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56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F44"/>
    <w:rPr>
      <w:rFonts w:ascii="Tahoma" w:hAnsi="Tahoma" w:cs="Times New Roman"/>
      <w:sz w:val="16"/>
    </w:rPr>
  </w:style>
  <w:style w:type="character" w:styleId="FootnoteReference">
    <w:name w:val="footnote reference"/>
    <w:basedOn w:val="DefaultParagraphFont"/>
    <w:uiPriority w:val="99"/>
    <w:semiHidden/>
    <w:rsid w:val="001927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07B13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2F5472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link w:val="ConsPlusNonformat0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A45747"/>
    <w:pPr>
      <w:suppressLineNumbers/>
    </w:pPr>
    <w:rPr>
      <w:lang w:eastAsia="ar-SA"/>
    </w:rPr>
  </w:style>
  <w:style w:type="paragraph" w:customStyle="1" w:styleId="Standard">
    <w:name w:val="Standard"/>
    <w:uiPriority w:val="99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cumentMapChar">
    <w:name w:val="Document Map Char"/>
    <w:link w:val="DocumentMap"/>
    <w:uiPriority w:val="99"/>
    <w:locked/>
    <w:rsid w:val="00AF6F44"/>
    <w:rPr>
      <w:rFonts w:ascii="Tahoma" w:hAnsi="Tahoma"/>
      <w:sz w:val="16"/>
      <w:lang w:eastAsia="en-US"/>
    </w:rPr>
  </w:style>
  <w:style w:type="paragraph" w:styleId="DocumentMap">
    <w:name w:val="Document Map"/>
    <w:basedOn w:val="Normal"/>
    <w:link w:val="DocumentMapChar1"/>
    <w:uiPriority w:val="99"/>
    <w:rsid w:val="00AF6F44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1">
    <w:name w:val="Схема документа Знак1"/>
    <w:uiPriority w:val="99"/>
    <w:rsid w:val="00AF6F44"/>
    <w:rPr>
      <w:rFonts w:ascii="Tahoma" w:hAnsi="Tahoma"/>
      <w:sz w:val="16"/>
    </w:rPr>
  </w:style>
  <w:style w:type="character" w:styleId="LineNumber">
    <w:name w:val="line number"/>
    <w:basedOn w:val="DefaultParagraphFont"/>
    <w:uiPriority w:val="99"/>
    <w:rsid w:val="00AF6F44"/>
    <w:rPr>
      <w:rFonts w:cs="Times New Roman"/>
    </w:rPr>
  </w:style>
  <w:style w:type="paragraph" w:customStyle="1" w:styleId="a0">
    <w:name w:val="Знак"/>
    <w:basedOn w:val="Normal"/>
    <w:uiPriority w:val="99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BA3CC8"/>
    <w:rPr>
      <w:rFonts w:ascii="Courier New" w:hAnsi="Courier New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18</Pages>
  <Words>5931</Words>
  <Characters>-32766</Characters>
  <Application>Microsoft Office Outlook</Application>
  <DocSecurity>0</DocSecurity>
  <Lines>0</Lines>
  <Paragraphs>0</Paragraphs>
  <ScaleCrop>false</ScaleCrop>
  <Company>ДОМ РОДНОЙ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6</cp:revision>
  <cp:lastPrinted>2020-03-25T10:45:00Z</cp:lastPrinted>
  <dcterms:created xsi:type="dcterms:W3CDTF">2020-03-04T10:38:00Z</dcterms:created>
  <dcterms:modified xsi:type="dcterms:W3CDTF">2020-05-13T12:54:00Z</dcterms:modified>
</cp:coreProperties>
</file>