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«ТАБУНЩИКОВСКОЕ СЕЛЬСКОЕ ПОСЕЛЕНИЕ»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 xml:space="preserve">АДМИНИСТРАЦИЯ ТАБУНЩИКОВСКОГО 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16D9F" w:rsidRPr="00416D9F" w:rsidRDefault="00416D9F" w:rsidP="00416D9F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312"/>
        <w:gridCol w:w="3266"/>
        <w:gridCol w:w="3327"/>
      </w:tblGrid>
      <w:tr w:rsidR="00416D9F" w:rsidRPr="00416D9F" w:rsidTr="00416D9F">
        <w:tc>
          <w:tcPr>
            <w:tcW w:w="3379" w:type="dxa"/>
          </w:tcPr>
          <w:p w:rsidR="00416D9F" w:rsidRPr="00416D9F" w:rsidRDefault="00416D9F" w:rsidP="00510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018B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.2021г. </w:t>
            </w:r>
          </w:p>
        </w:tc>
        <w:tc>
          <w:tcPr>
            <w:tcW w:w="3379" w:type="dxa"/>
          </w:tcPr>
          <w:p w:rsidR="00416D9F" w:rsidRPr="00416D9F" w:rsidRDefault="00416D9F" w:rsidP="0051018B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01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79" w:type="dxa"/>
          </w:tcPr>
          <w:p w:rsidR="00416D9F" w:rsidRPr="00416D9F" w:rsidRDefault="00416D9F" w:rsidP="00416D9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416D9F" w:rsidRPr="00416D9F" w:rsidRDefault="00416D9F" w:rsidP="00416D9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416D9F" w:rsidRPr="00416D9F" w:rsidTr="00416D9F">
        <w:tc>
          <w:tcPr>
            <w:tcW w:w="5353" w:type="dxa"/>
          </w:tcPr>
          <w:p w:rsidR="00416D9F" w:rsidRPr="00816F0D" w:rsidRDefault="00416D9F" w:rsidP="004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F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6F0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16F0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</w:t>
            </w:r>
          </w:p>
          <w:p w:rsidR="00416D9F" w:rsidRPr="00416D9F" w:rsidRDefault="00416D9F" w:rsidP="00816F0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1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содержания, выпаса и прогона сельскохозяйственных животных и птицы на территории </w:t>
            </w:r>
            <w:r w:rsidR="00816F0D">
              <w:rPr>
                <w:rFonts w:ascii="Times New Roman" w:hAnsi="Times New Roman" w:cs="Times New Roman"/>
                <w:bCs/>
                <w:sz w:val="28"/>
                <w:szCs w:val="28"/>
              </w:rPr>
              <w:t>Табунщиковского сельского</w:t>
            </w:r>
            <w:r w:rsidRPr="0081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  <w:r w:rsidRPr="00816F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416D9F" w:rsidRPr="00416D9F" w:rsidRDefault="00416D9F" w:rsidP="00416D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F0D" w:rsidRPr="00816F0D" w:rsidRDefault="00816F0D" w:rsidP="00816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Табунщиковского сельского поселения проект «</w:t>
      </w:r>
      <w:r>
        <w:rPr>
          <w:rFonts w:ascii="Times New Roman" w:hAnsi="Times New Roman" w:cs="Times New Roman"/>
          <w:bCs/>
          <w:sz w:val="28"/>
          <w:szCs w:val="28"/>
        </w:rPr>
        <w:t>Правил</w:t>
      </w:r>
      <w:r w:rsidR="007B013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F0D">
        <w:rPr>
          <w:rFonts w:ascii="Times New Roman" w:hAnsi="Times New Roman" w:cs="Times New Roman"/>
          <w:bCs/>
          <w:sz w:val="28"/>
          <w:szCs w:val="28"/>
        </w:rPr>
        <w:t xml:space="preserve">содержания, выпаса и прогона сельскохозяйственных животных и птицы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Табунщиковского сельского</w:t>
      </w:r>
      <w:r w:rsidRPr="00816F0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16F0D">
        <w:rPr>
          <w:rFonts w:ascii="Times New Roman" w:hAnsi="Times New Roman" w:cs="Times New Roman"/>
          <w:sz w:val="28"/>
          <w:szCs w:val="28"/>
        </w:rPr>
        <w:t>», руководствуясь Федеральным законом от 06.10.2003 №131-ФЗ «Об общих принципах организации местного самоуправления в Российской Федерации», ст. 30 Устава мунищипального образования «Табунщиковское сельское поселение»</w:t>
      </w:r>
    </w:p>
    <w:p w:rsidR="00816F0D" w:rsidRPr="00816F0D" w:rsidRDefault="00816F0D" w:rsidP="00816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F0D" w:rsidRPr="00816F0D" w:rsidRDefault="00816F0D" w:rsidP="007B0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816F0D" w:rsidRPr="007B0135" w:rsidRDefault="00816F0D" w:rsidP="007B0135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bCs/>
          <w:szCs w:val="28"/>
        </w:rPr>
      </w:pPr>
      <w:r w:rsidRPr="007B0135">
        <w:rPr>
          <w:szCs w:val="28"/>
        </w:rPr>
        <w:t>Утвердить «</w:t>
      </w:r>
      <w:r w:rsidR="007B0135" w:rsidRPr="007B0135">
        <w:rPr>
          <w:bCs/>
          <w:szCs w:val="28"/>
        </w:rPr>
        <w:t>Правила содержания, выпаса и прогона сельскохозяйственных животных и птицы на территории Табунщиковского сельского поселения</w:t>
      </w:r>
      <w:r w:rsidRPr="007B0135">
        <w:rPr>
          <w:szCs w:val="28"/>
        </w:rPr>
        <w:t>» (приложение);</w:t>
      </w:r>
    </w:p>
    <w:p w:rsidR="00816F0D" w:rsidRPr="00816F0D" w:rsidRDefault="00816F0D" w:rsidP="00816F0D">
      <w:pPr>
        <w:pStyle w:val="a8"/>
        <w:numPr>
          <w:ilvl w:val="0"/>
          <w:numId w:val="1"/>
        </w:numPr>
        <w:ind w:left="567" w:hanging="567"/>
        <w:rPr>
          <w:szCs w:val="28"/>
        </w:rPr>
      </w:pPr>
      <w:r w:rsidRPr="00816F0D">
        <w:rPr>
          <w:szCs w:val="28"/>
        </w:rPr>
        <w:t>Настоящие решение вступают в силу со дня его опубликования (обнародования);</w:t>
      </w:r>
    </w:p>
    <w:p w:rsidR="00816F0D" w:rsidRPr="007B0135" w:rsidRDefault="00816F0D" w:rsidP="00816F0D">
      <w:pPr>
        <w:pStyle w:val="a8"/>
        <w:numPr>
          <w:ilvl w:val="0"/>
          <w:numId w:val="1"/>
        </w:numPr>
        <w:ind w:left="567" w:hanging="567"/>
        <w:rPr>
          <w:szCs w:val="28"/>
        </w:rPr>
      </w:pPr>
      <w:r>
        <w:t>Контроль за исполнения настоящего решения возложить на главу Администрации Табунщиковского сельского поселения О.Н. Здроб.</w:t>
      </w:r>
    </w:p>
    <w:p w:rsidR="007B0135" w:rsidRPr="007B0135" w:rsidRDefault="007B0135" w:rsidP="007B0135">
      <w:pPr>
        <w:pStyle w:val="a8"/>
        <w:ind w:left="567" w:firstLine="0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08"/>
        <w:gridCol w:w="4619"/>
        <w:gridCol w:w="334"/>
      </w:tblGrid>
      <w:tr w:rsidR="00816F0D" w:rsidRPr="007B0135" w:rsidTr="009E79FB">
        <w:trPr>
          <w:gridAfter w:val="1"/>
          <w:wAfter w:w="334" w:type="dxa"/>
        </w:trPr>
        <w:tc>
          <w:tcPr>
            <w:tcW w:w="4644" w:type="dxa"/>
          </w:tcPr>
          <w:p w:rsidR="00816F0D" w:rsidRPr="007B0135" w:rsidRDefault="00816F0D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816F0D" w:rsidRPr="007B0135" w:rsidRDefault="00816F0D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 xml:space="preserve">глава Табунщиковского </w:t>
            </w:r>
          </w:p>
          <w:p w:rsidR="00816F0D" w:rsidRPr="007B0135" w:rsidRDefault="00816F0D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  <w:gridSpan w:val="2"/>
            <w:vAlign w:val="center"/>
          </w:tcPr>
          <w:p w:rsidR="00816F0D" w:rsidRPr="007B0135" w:rsidRDefault="00816F0D" w:rsidP="009E79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Е.Н. Згоняйко</w:t>
            </w:r>
          </w:p>
        </w:tc>
      </w:tr>
      <w:tr w:rsidR="0051018B" w:rsidRPr="007B0135" w:rsidTr="009E79FB">
        <w:trPr>
          <w:gridAfter w:val="1"/>
          <w:wAfter w:w="334" w:type="dxa"/>
        </w:trPr>
        <w:tc>
          <w:tcPr>
            <w:tcW w:w="4644" w:type="dxa"/>
          </w:tcPr>
          <w:p w:rsidR="0051018B" w:rsidRPr="007B0135" w:rsidRDefault="0051018B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51018B" w:rsidRPr="007B0135" w:rsidRDefault="0051018B" w:rsidP="009E79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35" w:rsidTr="007B01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135" w:rsidRDefault="007B0135" w:rsidP="007B013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</w:rPr>
            </w:pPr>
            <w:r w:rsidRPr="007B0135">
              <w:rPr>
                <w:sz w:val="24"/>
                <w:szCs w:val="24"/>
                <w:lang w:eastAsia="en-US"/>
              </w:rPr>
              <w:t>Приложение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</w:rPr>
            </w:pPr>
            <w:r w:rsidRPr="007B0135">
              <w:rPr>
                <w:sz w:val="24"/>
                <w:szCs w:val="24"/>
                <w:lang w:eastAsia="en-US"/>
              </w:rPr>
              <w:t>к  решению Собрания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B0135">
              <w:rPr>
                <w:sz w:val="24"/>
                <w:szCs w:val="24"/>
                <w:lang w:eastAsia="en-US"/>
              </w:rPr>
              <w:t>депутатов Табунщиковского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</w:rPr>
            </w:pPr>
            <w:r w:rsidRPr="007B0135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7B0135" w:rsidRPr="007B0135" w:rsidRDefault="007B0135" w:rsidP="0051018B">
            <w:pPr>
              <w:pStyle w:val="a8"/>
              <w:autoSpaceDE w:val="0"/>
              <w:ind w:left="0" w:firstLine="0"/>
              <w:jc w:val="center"/>
            </w:pPr>
            <w:r w:rsidRPr="007B0135">
              <w:rPr>
                <w:sz w:val="24"/>
                <w:szCs w:val="24"/>
                <w:lang w:eastAsia="en-US"/>
              </w:rPr>
              <w:t>от  «</w:t>
            </w:r>
            <w:r w:rsidR="0051018B">
              <w:rPr>
                <w:sz w:val="24"/>
                <w:szCs w:val="24"/>
                <w:lang w:eastAsia="en-US"/>
              </w:rPr>
              <w:t>31</w:t>
            </w:r>
            <w:r w:rsidRPr="007B0135">
              <w:rPr>
                <w:sz w:val="24"/>
                <w:szCs w:val="24"/>
                <w:lang w:eastAsia="en-US"/>
              </w:rPr>
              <w:t>».</w:t>
            </w:r>
            <w:r w:rsidR="0051018B">
              <w:rPr>
                <w:sz w:val="24"/>
                <w:szCs w:val="24"/>
                <w:lang w:eastAsia="en-US"/>
              </w:rPr>
              <w:t>08</w:t>
            </w:r>
            <w:r w:rsidRPr="007B0135">
              <w:rPr>
                <w:sz w:val="24"/>
                <w:szCs w:val="24"/>
                <w:lang w:eastAsia="en-US"/>
              </w:rPr>
              <w:t xml:space="preserve">.2021г.  №  </w:t>
            </w:r>
            <w:r w:rsidR="0051018B">
              <w:rPr>
                <w:sz w:val="24"/>
                <w:szCs w:val="24"/>
                <w:lang w:eastAsia="en-US"/>
              </w:rPr>
              <w:t>80</w:t>
            </w:r>
          </w:p>
        </w:tc>
      </w:tr>
    </w:tbl>
    <w:p w:rsidR="00816F0D" w:rsidRDefault="00816F0D" w:rsidP="00416D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0135" w:rsidRDefault="007B0135" w:rsidP="007B01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135">
        <w:rPr>
          <w:rFonts w:ascii="Times New Roman" w:hAnsi="Times New Roman" w:cs="Times New Roman"/>
          <w:b/>
          <w:bCs/>
          <w:sz w:val="28"/>
          <w:szCs w:val="28"/>
        </w:rPr>
        <w:t>Правила содержания, выпаса и прогона сельскохозяйственных животных и птицы на территории Табунщиковского сельского поселения</w:t>
      </w:r>
    </w:p>
    <w:p w:rsidR="007B0135" w:rsidRPr="007B0135" w:rsidRDefault="007B0135" w:rsidP="007B01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9F" w:rsidRPr="00816F0D" w:rsidRDefault="00416D9F" w:rsidP="00816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816F0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1. Настоящие Правила содержания, выпаса и прогона сельскохозяйственных животных и птицы на территории </w:t>
      </w:r>
      <w:r w:rsidR="00816F0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AA2834">
        <w:rPr>
          <w:rFonts w:ascii="Times New Roman" w:hAnsi="Times New Roman" w:cs="Times New Roman"/>
          <w:sz w:val="28"/>
          <w:szCs w:val="28"/>
        </w:rPr>
        <w:t xml:space="preserve"> </w:t>
      </w:r>
      <w:r w:rsidRPr="00816F0D">
        <w:rPr>
          <w:rFonts w:ascii="Times New Roman" w:hAnsi="Times New Roman" w:cs="Times New Roman"/>
          <w:sz w:val="28"/>
          <w:szCs w:val="28"/>
        </w:rPr>
        <w:t xml:space="preserve">(далее - Правила) разработаны в соответствии с Земельным </w:t>
      </w:r>
      <w:hyperlink r:id="rId7" w:history="1">
        <w:r w:rsidRPr="005101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16F0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 от 14.05.1993</w:t>
      </w:r>
      <w:r w:rsidRPr="0051018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1018B">
          <w:rPr>
            <w:rFonts w:ascii="Times New Roman" w:hAnsi="Times New Roman" w:cs="Times New Roman"/>
            <w:sz w:val="28"/>
            <w:szCs w:val="28"/>
          </w:rPr>
          <w:t>№ 4979-1</w:t>
        </w:r>
      </w:hyperlink>
      <w:r w:rsidRPr="00816F0D">
        <w:rPr>
          <w:rFonts w:ascii="Times New Roman" w:hAnsi="Times New Roman" w:cs="Times New Roman"/>
          <w:sz w:val="28"/>
          <w:szCs w:val="28"/>
        </w:rPr>
        <w:t xml:space="preserve"> "О ветеринарии", от 30.03.1999 </w:t>
      </w:r>
      <w:hyperlink r:id="rId9" w:history="1">
        <w:r w:rsidRPr="0051018B">
          <w:rPr>
            <w:rFonts w:ascii="Times New Roman" w:hAnsi="Times New Roman" w:cs="Times New Roman"/>
            <w:sz w:val="28"/>
            <w:szCs w:val="28"/>
          </w:rPr>
          <w:t>№ 52-ФЗ</w:t>
        </w:r>
      </w:hyperlink>
      <w:r w:rsidRPr="00816F0D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Федеральным </w:t>
      </w:r>
      <w:hyperlink r:id="rId10" w:history="1">
        <w:r w:rsidRPr="005101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018B">
        <w:rPr>
          <w:rFonts w:ascii="Times New Roman" w:hAnsi="Times New Roman" w:cs="Times New Roman"/>
          <w:sz w:val="28"/>
          <w:szCs w:val="28"/>
        </w:rPr>
        <w:t xml:space="preserve"> </w:t>
      </w:r>
      <w:r w:rsidRPr="00816F0D">
        <w:rPr>
          <w:rFonts w:ascii="Times New Roman" w:hAnsi="Times New Roman" w:cs="Times New Roman"/>
          <w:sz w:val="28"/>
          <w:szCs w:val="28"/>
        </w:rPr>
        <w:t>от 06.10.2003 № 131-ФЗ "Об общих принципах организации местного самоуправления в Российской Федерации",  санитарными правилами СП 3.1.084-96, ветеринарными правилами ВП 13.3.4.1100-96 "Профилактика и борьба с заразными болезнями, общими для человека и животных. Общие положения".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6F0D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содержания, регистрации, учета, выпаса и прогона сельскохозяйственных животных и птицы гражданами на территории </w:t>
      </w:r>
      <w:r w:rsidR="00816F0D">
        <w:rPr>
          <w:rFonts w:ascii="Times New Roman" w:hAnsi="Times New Roman" w:cs="Times New Roman"/>
          <w:sz w:val="28"/>
          <w:szCs w:val="28"/>
        </w:rPr>
        <w:t xml:space="preserve">Табунщиковского сельского поселения </w:t>
      </w:r>
      <w:r w:rsidRPr="00816F0D">
        <w:rPr>
          <w:rFonts w:ascii="Times New Roman" w:hAnsi="Times New Roman" w:cs="Times New Roman"/>
          <w:sz w:val="28"/>
          <w:szCs w:val="28"/>
        </w:rPr>
        <w:t>(далее – поселение)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 и массовых незаразных заболеваний.</w:t>
      </w:r>
      <w:proofErr w:type="gramEnd"/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3. В настоящих Правилах применяются следующие понятия и термины: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0D">
        <w:rPr>
          <w:rFonts w:ascii="Times New Roman" w:hAnsi="Times New Roman" w:cs="Times New Roman"/>
          <w:sz w:val="28"/>
          <w:szCs w:val="28"/>
        </w:rPr>
        <w:t>1) сельскохозяйственные животные и птица - лошади, ослы, мулы,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продукции, а также в качестве транспортного средства или тягловой силы;</w:t>
      </w:r>
      <w:proofErr w:type="gramEnd"/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0D">
        <w:rPr>
          <w:rFonts w:ascii="Times New Roman" w:hAnsi="Times New Roman" w:cs="Times New Roman"/>
          <w:sz w:val="28"/>
          <w:szCs w:val="28"/>
        </w:rPr>
        <w:lastRenderedPageBreak/>
        <w:t>2) владелец сельскохозяйственного животного - физическое лицо, обладающее в отношении животного правом собственности или иным вещным правом либо фактически владеющее им, осуществляющее содержание животного;</w:t>
      </w:r>
      <w:proofErr w:type="gramEnd"/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3) безнадзорные животные - домашние животные, находящиеся на территории </w:t>
      </w:r>
      <w:r w:rsidR="002E29F6">
        <w:rPr>
          <w:rFonts w:ascii="Times New Roman" w:hAnsi="Times New Roman" w:cs="Times New Roman"/>
          <w:sz w:val="28"/>
          <w:szCs w:val="28"/>
        </w:rPr>
        <w:t>Табунщиковского сельского</w:t>
      </w:r>
      <w:r w:rsidRPr="00816F0D">
        <w:rPr>
          <w:rFonts w:ascii="Times New Roman" w:hAnsi="Times New Roman" w:cs="Times New Roman"/>
          <w:sz w:val="28"/>
          <w:szCs w:val="28"/>
        </w:rPr>
        <w:t xml:space="preserve"> поселения, без сопровождающего лица.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4) учет (идентификация) животных и птицы - нанесение уполномоченными лицами номерных знаков путем выжигания, татуировки, биркования, чипирования или другим способом, позволяющим идентифицировать животных.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5) содержание и разведение сельскохозяйственных животных - действия, совершаемые собственником сельскохозяйственных животных 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6)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7)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8) потрава зеленых насаждений - последствия в виде гибели зеленых насаждений, наступившие в результате воздействия животного.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816F0D">
        <w:rPr>
          <w:rFonts w:ascii="Times New Roman" w:hAnsi="Times New Roman" w:cs="Times New Roman"/>
          <w:b/>
          <w:bCs/>
          <w:sz w:val="28"/>
          <w:szCs w:val="28"/>
        </w:rPr>
        <w:t>Регистрация и учет животных и птицы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2.1. Сельскохозяйственные животные и птица (далее - животные) всех видов подлежат регистрации,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Ростовской области в области ветеринарии (далее - ветеринарная служба).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2.2. Учет лошадей, верблюдов, крупного и мелкого рогатого скота, свиней осуществляется путем регистрации присвоенных животным инвентарных номеров.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Присвоение животным инвентарных номеров (мечение животных) производится владельцами животных. В случае невозможности мечения </w:t>
      </w:r>
      <w:r w:rsidRPr="00816F0D">
        <w:rPr>
          <w:rFonts w:ascii="Times New Roman" w:hAnsi="Times New Roman" w:cs="Times New Roman"/>
          <w:sz w:val="28"/>
          <w:szCs w:val="28"/>
        </w:rPr>
        <w:lastRenderedPageBreak/>
        <w:t>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 администрации </w:t>
      </w:r>
      <w:r w:rsidR="00816F0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816F0D">
        <w:rPr>
          <w:rFonts w:ascii="Times New Roman" w:hAnsi="Times New Roman" w:cs="Times New Roman"/>
          <w:sz w:val="28"/>
          <w:szCs w:val="28"/>
        </w:rPr>
        <w:t>путем внесения записи в похозяйственную книгу.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2.6. В случае гибели животного владелец обязан сообщить об этом в ветеринарную службу, зарегистрировавшую животное.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Статья 3.</w:t>
      </w:r>
      <w:r w:rsidRPr="00816F0D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сельскохозяйственных животных и птицы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3.1. На территории городского округа допускается содержание животных в районах малоэтажной застройки с обязательным выполнением условий их содержания, санитарно-гигиенических, ветеринарных правил и норм, исключительно в целях удовлетворения личных потребностей граждан.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lastRenderedPageBreak/>
        <w:t xml:space="preserve">3.2.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</w:t>
      </w:r>
      <w:hyperlink r:id="rId11" w:history="1">
        <w:r w:rsidRPr="00816F0D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816F0D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16F0D">
        <w:rPr>
          <w:rFonts w:ascii="Times New Roman" w:hAnsi="Times New Roman" w:cs="Times New Roman"/>
          <w:sz w:val="28"/>
          <w:szCs w:val="28"/>
        </w:rPr>
        <w:t>В целях защиты поверхностных, подземных вод и почв от загрязнения продуктами жизнедеятельности животных, для соблюдения правил профилактики и борьбы с инфекционными болезнями животных, а также болезнями, общими для человека и животных, граждане обязаны обеспечить содержание животных и уход за ними, дезинсекцию и дератизацию мест содержания животных в соответствии с действующими ветеринарными и санитарно-гигиеническими правилами и нормами.</w:t>
      </w:r>
      <w:proofErr w:type="gramEnd"/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3.4. Владельцы животных имеют право: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1) получать от ветеринарной службы необходимую информацию о порядке содержания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2) распоряжаться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3) застраховать животных на случай гибели или вынужденного убоя в связи с болезнью.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3.5. Владельцы животных обязаны: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1) обеспечивать безопасность граждан и окружающей среды от негативного воздействия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2) не допускать свободного выпаса и бродяжничества животных на территории </w:t>
      </w:r>
      <w:r w:rsidR="002E29F6">
        <w:rPr>
          <w:rFonts w:ascii="Times New Roman" w:hAnsi="Times New Roman" w:cs="Times New Roman"/>
          <w:sz w:val="28"/>
          <w:szCs w:val="28"/>
        </w:rPr>
        <w:t>Табунщиковского сельского</w:t>
      </w:r>
      <w:r w:rsidRPr="00816F0D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3) гуманно обращаться с животными;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4) обеспечивать животных кормом и водой, </w:t>
      </w:r>
      <w:proofErr w:type="gramStart"/>
      <w:r w:rsidRPr="00816F0D">
        <w:rPr>
          <w:rFonts w:ascii="Times New Roman" w:hAnsi="Times New Roman" w:cs="Times New Roman"/>
          <w:sz w:val="28"/>
          <w:szCs w:val="28"/>
        </w:rPr>
        <w:t>безопасными</w:t>
      </w:r>
      <w:proofErr w:type="gramEnd"/>
      <w:r w:rsidRPr="00816F0D">
        <w:rPr>
          <w:rFonts w:ascii="Times New Roman" w:hAnsi="Times New Roman" w:cs="Times New Roman"/>
          <w:sz w:val="28"/>
          <w:szCs w:val="28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5) соблюдать санитарно-гигиенические и ветеринарно-санитарные правила содержания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6) выполнять предписания должностных лиц органов государственного санитарно-эпидемиологического и ветеринарного надзора;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7) не допускать загрязнения окружающей среды отходами животноводства;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8) в случае падежа доставлять трупы животных, абортированные и мертворожденные плоды в специально отведенные администрацией </w:t>
      </w:r>
      <w:r w:rsidR="00816F0D">
        <w:rPr>
          <w:rFonts w:ascii="Times New Roman" w:hAnsi="Times New Roman" w:cs="Times New Roman"/>
          <w:sz w:val="28"/>
          <w:szCs w:val="28"/>
        </w:rPr>
        <w:lastRenderedPageBreak/>
        <w:t>Табунщиковского сельского поселения</w:t>
      </w:r>
      <w:r w:rsidR="002E29F6">
        <w:rPr>
          <w:rFonts w:ascii="Times New Roman" w:hAnsi="Times New Roman" w:cs="Times New Roman"/>
          <w:sz w:val="28"/>
          <w:szCs w:val="28"/>
        </w:rPr>
        <w:t xml:space="preserve"> </w:t>
      </w:r>
      <w:r w:rsidRPr="00816F0D">
        <w:rPr>
          <w:rFonts w:ascii="Times New Roman" w:hAnsi="Times New Roman" w:cs="Times New Roman"/>
          <w:sz w:val="28"/>
          <w:szCs w:val="28"/>
        </w:rPr>
        <w:t>по согласованию с государственным санитарно-эпидемиологическим и ветеринарным надзором места для их утилизации;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9) соблюдать правила прогона и выпаса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10) предоставлять животных для проведения плановых ветеринарно-профилактических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11) осуществлять уборку территорий, прилегающих к домовладениям и земельным участкам, от отходов жизнедеятельности животных, предупреждать появление вредных насекомых и неприятных запахов;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12) карантинировать вновь поступивших животных в течение 30 дней для проведения необходимых ветеринарных исследований и обработок;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13) следить за наличием и сохранностью номерного индивидуального знака животного;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14) содержать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15) соблюдать установленные правила карантина при возникновении заразных заболеваний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16) осуществлять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3.6. Убой животных осуществляется с соблюдением требований ветеринарного и санитарно-эпидемиологического законодательства.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3.7.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:rsidR="00816F0D" w:rsidRDefault="00816F0D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816F0D">
        <w:rPr>
          <w:rFonts w:ascii="Times New Roman" w:hAnsi="Times New Roman" w:cs="Times New Roman"/>
          <w:b/>
          <w:bCs/>
          <w:sz w:val="28"/>
          <w:szCs w:val="28"/>
        </w:rPr>
        <w:t>Выпас и прогон животных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4.1. Выпас сельскохозяйственных животных (крупный и мелкий рогатый скот, лошади) на территории </w:t>
      </w:r>
      <w:r w:rsidR="00816F0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2E29F6">
        <w:rPr>
          <w:rFonts w:ascii="Times New Roman" w:hAnsi="Times New Roman" w:cs="Times New Roman"/>
          <w:sz w:val="28"/>
          <w:szCs w:val="28"/>
        </w:rPr>
        <w:t xml:space="preserve"> </w:t>
      </w:r>
      <w:r w:rsidRPr="00816F0D">
        <w:rPr>
          <w:rFonts w:ascii="Times New Roman" w:hAnsi="Times New Roman" w:cs="Times New Roman"/>
          <w:sz w:val="28"/>
          <w:szCs w:val="28"/>
        </w:rPr>
        <w:t>осуществляется на определенных правовым актом администрации поселения огороженных или неогороженных пастбищах, на привязи или под надзором владельцев животных либо лиц, ими уполномоченных, с обязательным соблюдением норм нагрузки на пастбища. Выпас начинается весной не ранее 15 апреля и заканчивается 1 декабря.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4.2. Владельцы животных обязаны: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lastRenderedPageBreak/>
        <w:t>1) сопровождать животных при прогоне на пастбище и с пастбища, не допуская порчи зеленых насаждений;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2) следить за санитарным состоянием пастбищ;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3) осуществлять прогон животных к месту выпаса по маршрутам, установленным правовым актом администрации Красносулинского городского поселения.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4.3. Владельцам животных запрещено: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1) прогонять животных по дорогам с твердым покрытием, а также по пешеходным дорожкам;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2) выпасать животных на территории городских и сельских парков, скверов, улиц, в местах массового отдыха и купания людей, на внутридворовой территории многоэтажной застройки, на территориях, прилегающих к частным домовладениям;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3) выпасать животных в полосе отвода автомобильных дорог;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4) выпасать быков от 6 месяцев в общем стаде.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816F0D">
        <w:rPr>
          <w:rFonts w:ascii="Times New Roman" w:hAnsi="Times New Roman" w:cs="Times New Roman"/>
          <w:b/>
          <w:bCs/>
          <w:sz w:val="28"/>
          <w:szCs w:val="28"/>
        </w:rPr>
        <w:t>Складирование и вывоз отходов жизнедеятельности животных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5.1. К отходам жизнедеятельности животных относятся навоз, жидкие стоки, остатки кормов и подстилки (далее - отходы).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5.2. Вывоз отходов производится на специально отведенные земельные участки.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5.3.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в почву.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5.4. Отходы жизнедеятельности животных разрешается временно складировать на территории земельного участка, не далее 5 м от границ тыльной или боковой части двора с соответствующим ограждением, препятствующим загрязнению территории общего пользования, с последующим вывозом. Вывоз отходов осуществлять по мере необходимости, но не менее 2 раз в год: до 1 мая и до 1 ноября.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5.5. Владельцам животных запрещается: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lastRenderedPageBreak/>
        <w:t>1) складировать и хранить отходы животноводства на территории улиц, переулков, площадей, парков, в лесополосах и на пустырях;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2) сжигать отходы, в том числе на территории частных домовладений;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3) складировать отходы животноводства в мусорные контейнеры для вывоза твердых бытовых отходов.</w:t>
      </w:r>
    </w:p>
    <w:p w:rsidR="00816F0D" w:rsidRDefault="00816F0D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816F0D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настоящих Правил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6.1.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6.2. 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6.3. За жестокое обращение с животными владельцы несут ответственность, предусмотренную действующим законодательством.</w:t>
      </w:r>
    </w:p>
    <w:p w:rsidR="00416D9F" w:rsidRPr="00416D9F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16D9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</w:t>
      </w:r>
    </w:p>
    <w:p w:rsidR="00416D9F" w:rsidRPr="00416D9F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416D9F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9E" w:rsidRPr="00416D9F" w:rsidRDefault="00232D9E" w:rsidP="00816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2D9E" w:rsidRPr="00416D9F" w:rsidSect="00416D9F">
      <w:footerReference w:type="defaul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E3" w:rsidRDefault="00E25EE3" w:rsidP="00816F0D">
      <w:pPr>
        <w:spacing w:after="0" w:line="240" w:lineRule="auto"/>
      </w:pPr>
      <w:r>
        <w:separator/>
      </w:r>
    </w:p>
  </w:endnote>
  <w:endnote w:type="continuationSeparator" w:id="0">
    <w:p w:rsidR="00E25EE3" w:rsidRDefault="00E25EE3" w:rsidP="008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2083"/>
      <w:docPartObj>
        <w:docPartGallery w:val="Page Numbers (Bottom of Page)"/>
        <w:docPartUnique/>
      </w:docPartObj>
    </w:sdtPr>
    <w:sdtContent>
      <w:p w:rsidR="00816F0D" w:rsidRDefault="00180D5E">
        <w:pPr>
          <w:pStyle w:val="a5"/>
          <w:jc w:val="right"/>
        </w:pPr>
        <w:fldSimple w:instr=" PAGE   \* MERGEFORMAT ">
          <w:r w:rsidR="0051018B">
            <w:rPr>
              <w:noProof/>
            </w:rPr>
            <w:t>8</w:t>
          </w:r>
        </w:fldSimple>
      </w:p>
    </w:sdtContent>
  </w:sdt>
  <w:p w:rsidR="00816F0D" w:rsidRDefault="00816F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E3" w:rsidRDefault="00E25EE3" w:rsidP="00816F0D">
      <w:pPr>
        <w:spacing w:after="0" w:line="240" w:lineRule="auto"/>
      </w:pPr>
      <w:r>
        <w:separator/>
      </w:r>
    </w:p>
  </w:footnote>
  <w:footnote w:type="continuationSeparator" w:id="0">
    <w:p w:rsidR="00E25EE3" w:rsidRDefault="00E25EE3" w:rsidP="0081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013"/>
    <w:multiLevelType w:val="hybridMultilevel"/>
    <w:tmpl w:val="32F8D666"/>
    <w:lvl w:ilvl="0" w:tplc="921A664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D9F"/>
    <w:rsid w:val="00111ADF"/>
    <w:rsid w:val="00180D5E"/>
    <w:rsid w:val="00207B92"/>
    <w:rsid w:val="00232D9E"/>
    <w:rsid w:val="002E29F6"/>
    <w:rsid w:val="00416D9F"/>
    <w:rsid w:val="0051018B"/>
    <w:rsid w:val="00697FF3"/>
    <w:rsid w:val="00764C40"/>
    <w:rsid w:val="007B0135"/>
    <w:rsid w:val="00816F0D"/>
    <w:rsid w:val="00AA2834"/>
    <w:rsid w:val="00BB33A0"/>
    <w:rsid w:val="00E2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F0D"/>
  </w:style>
  <w:style w:type="paragraph" w:styleId="a5">
    <w:name w:val="footer"/>
    <w:basedOn w:val="a"/>
    <w:link w:val="a6"/>
    <w:uiPriority w:val="99"/>
    <w:unhideWhenUsed/>
    <w:rsid w:val="0081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F0D"/>
  </w:style>
  <w:style w:type="table" w:styleId="a7">
    <w:name w:val="Table Grid"/>
    <w:basedOn w:val="a1"/>
    <w:uiPriority w:val="59"/>
    <w:rsid w:val="0081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16F0D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68304E277EE7FDB155976E7D2uEa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247A8E29F9A8CF78DECDD0D9A630868B02EC77E37FDB155976E7D2uEaD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2247A8E29F9A8CF78C0C0C6B5F83A83885AE87EEA718E4D0D70B08DBD143859C63E2FEB1F96636A3D7EADuBaF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82247A8E29F9A8CF78DECDD0D9A630868B0DEC7DEB7FDB155976E7D2uE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68A02E47AEE7FDB155976E7D2uEa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2021-07-28T05:52:00Z</dcterms:created>
  <dcterms:modified xsi:type="dcterms:W3CDTF">2021-09-06T11:39:00Z</dcterms:modified>
</cp:coreProperties>
</file>